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1639B" w14:textId="77777777" w:rsidR="00865C74" w:rsidRPr="0047527F" w:rsidRDefault="00865C74" w:rsidP="00865C74">
      <w:pPr>
        <w:jc w:val="center"/>
        <w:rPr>
          <w:rFonts w:ascii="Calibri" w:hAnsi="Calibri" w:cs="Calibri"/>
        </w:rPr>
      </w:pPr>
    </w:p>
    <w:p w14:paraId="22370A40" w14:textId="77777777" w:rsidR="00865C74" w:rsidRPr="00F45FDA" w:rsidRDefault="00865C74" w:rsidP="00865C74">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Calibri" w:hAnsi="Calibri" w:cs="Calibri"/>
          <w:b/>
          <w:bCs/>
        </w:rPr>
      </w:pPr>
      <w:r w:rsidRPr="00F45FDA">
        <w:rPr>
          <w:rFonts w:ascii="Calibri" w:hAnsi="Calibri" w:cs="Calibri"/>
          <w:b/>
          <w:bCs/>
        </w:rPr>
        <w:t>2.3</w:t>
      </w:r>
      <w:r w:rsidRPr="00F45FDA">
        <w:rPr>
          <w:rFonts w:ascii="Calibri" w:hAnsi="Calibri" w:cs="Calibri"/>
          <w:b/>
          <w:bCs/>
        </w:rPr>
        <w:tab/>
        <w:t>Stávající stav gramotností v území</w:t>
      </w:r>
    </w:p>
    <w:p w14:paraId="34910408" w14:textId="77777777" w:rsidR="00865C74" w:rsidRPr="008C7B1B" w:rsidRDefault="00865C74" w:rsidP="00865C74">
      <w:pPr>
        <w:jc w:val="both"/>
        <w:rPr>
          <w:rFonts w:ascii="Calibri" w:hAnsi="Calibri" w:cs="Calibri"/>
        </w:rPr>
      </w:pPr>
      <w:r>
        <w:rPr>
          <w:rFonts w:ascii="Calibri" w:hAnsi="Calibri" w:cs="Calibri"/>
        </w:rPr>
        <w:t>Projednávaný podklad:</w:t>
      </w:r>
    </w:p>
    <w:p w14:paraId="3A546506" w14:textId="77777777" w:rsidR="00865C74" w:rsidRPr="008C7B1B" w:rsidRDefault="00865C74" w:rsidP="00865C74">
      <w:pPr>
        <w:jc w:val="both"/>
        <w:rPr>
          <w:rFonts w:ascii="Calibri" w:hAnsi="Calibri" w:cs="Calibri"/>
        </w:rPr>
      </w:pPr>
      <w:r w:rsidRPr="008C7B1B">
        <w:rPr>
          <w:rFonts w:ascii="Calibri" w:hAnsi="Calibri" w:cs="Calibri"/>
        </w:rPr>
        <w:t xml:space="preserve">V následující tabulce jsou uvedeny existující šetření, které mají souvislost s oblastí vzdělávání, a to včetně odkazu. </w:t>
      </w:r>
    </w:p>
    <w:p w14:paraId="52B460E9" w14:textId="77777777" w:rsidR="00865C74" w:rsidRPr="008C7B1B" w:rsidRDefault="00865C74" w:rsidP="00865C74">
      <w:pPr>
        <w:jc w:val="both"/>
        <w:rPr>
          <w:rFonts w:ascii="Calibri" w:hAnsi="Calibri" w:cs="Calibri"/>
        </w:rPr>
      </w:pPr>
      <w:r w:rsidRPr="008C7B1B">
        <w:rPr>
          <w:rFonts w:ascii="Calibri" w:hAnsi="Calibri" w:cs="Calibri"/>
        </w:rPr>
        <w:t>V následující kapitole jsou uvedena některá klíčová data a srovnání s provazbou na priority v rámci projektu MAP.</w:t>
      </w:r>
    </w:p>
    <w:tbl>
      <w:tblPr>
        <w:tblStyle w:val="Mkatabulky"/>
        <w:tblW w:w="9498" w:type="dxa"/>
        <w:jc w:val="center"/>
        <w:tblLayout w:type="fixed"/>
        <w:tblLook w:val="04A0" w:firstRow="1" w:lastRow="0" w:firstColumn="1" w:lastColumn="0" w:noHBand="0" w:noVBand="1"/>
      </w:tblPr>
      <w:tblGrid>
        <w:gridCol w:w="4537"/>
        <w:gridCol w:w="4961"/>
      </w:tblGrid>
      <w:tr w:rsidR="00865C74" w:rsidRPr="008419DC" w14:paraId="0A06FD42" w14:textId="77777777" w:rsidTr="00186923">
        <w:trPr>
          <w:jc w:val="center"/>
        </w:trPr>
        <w:tc>
          <w:tcPr>
            <w:tcW w:w="4537" w:type="dxa"/>
            <w:shd w:val="clear" w:color="auto" w:fill="FFFFFF" w:themeFill="background1"/>
          </w:tcPr>
          <w:p w14:paraId="6CF69A4A" w14:textId="77777777" w:rsidR="00865C74" w:rsidRPr="008419DC" w:rsidRDefault="00865C74" w:rsidP="00186923">
            <w:pPr>
              <w:ind w:hanging="25"/>
              <w:jc w:val="center"/>
              <w:rPr>
                <w:rFonts w:ascii="Calibri" w:hAnsi="Calibri" w:cs="Calibri"/>
                <w:color w:val="323E4F" w:themeColor="text2" w:themeShade="BF"/>
                <w:szCs w:val="20"/>
              </w:rPr>
            </w:pPr>
            <w:r w:rsidRPr="008419DC">
              <w:rPr>
                <w:rFonts w:ascii="Calibri" w:hAnsi="Calibri" w:cs="Calibri"/>
                <w:color w:val="323E4F" w:themeColor="text2" w:themeShade="BF"/>
                <w:szCs w:val="20"/>
              </w:rPr>
              <w:t>Název dokumentu</w:t>
            </w:r>
          </w:p>
        </w:tc>
        <w:tc>
          <w:tcPr>
            <w:tcW w:w="4961" w:type="dxa"/>
            <w:shd w:val="clear" w:color="auto" w:fill="FFFFFF" w:themeFill="background1"/>
          </w:tcPr>
          <w:p w14:paraId="4B8A0C4F" w14:textId="77777777" w:rsidR="00865C74" w:rsidRPr="008419DC" w:rsidRDefault="00865C74" w:rsidP="00186923">
            <w:pPr>
              <w:ind w:hanging="25"/>
              <w:jc w:val="center"/>
              <w:rPr>
                <w:rFonts w:ascii="Calibri" w:hAnsi="Calibri" w:cs="Calibri"/>
                <w:color w:val="323E4F" w:themeColor="text2" w:themeShade="BF"/>
                <w:szCs w:val="20"/>
              </w:rPr>
            </w:pPr>
            <w:r w:rsidRPr="008419DC">
              <w:rPr>
                <w:rFonts w:ascii="Calibri" w:hAnsi="Calibri" w:cs="Calibri"/>
                <w:color w:val="323E4F" w:themeColor="text2" w:themeShade="BF"/>
                <w:szCs w:val="20"/>
              </w:rPr>
              <w:t>Odkaz na dokument</w:t>
            </w:r>
          </w:p>
        </w:tc>
      </w:tr>
      <w:tr w:rsidR="00865C74" w:rsidRPr="008419DC" w14:paraId="1678E588" w14:textId="77777777" w:rsidTr="00186923">
        <w:trPr>
          <w:trHeight w:val="344"/>
          <w:jc w:val="center"/>
        </w:trPr>
        <w:tc>
          <w:tcPr>
            <w:tcW w:w="9498" w:type="dxa"/>
            <w:gridSpan w:val="2"/>
            <w:shd w:val="clear" w:color="auto" w:fill="538135" w:themeFill="accent6" w:themeFillShade="BF"/>
          </w:tcPr>
          <w:p w14:paraId="492E7630" w14:textId="77777777" w:rsidR="00865C74" w:rsidRPr="008419DC" w:rsidRDefault="00865C74" w:rsidP="00186923">
            <w:pPr>
              <w:spacing w:after="160" w:line="259" w:lineRule="auto"/>
              <w:ind w:hanging="25"/>
              <w:jc w:val="center"/>
              <w:rPr>
                <w:rFonts w:ascii="Calibri" w:hAnsi="Calibri" w:cs="Calibri"/>
                <w:color w:val="FFFFFF" w:themeColor="background1"/>
                <w:kern w:val="2"/>
                <w:szCs w:val="20"/>
              </w:rPr>
            </w:pPr>
            <w:r w:rsidRPr="008419DC">
              <w:rPr>
                <w:rFonts w:ascii="Calibri" w:hAnsi="Calibri" w:cs="Calibri"/>
                <w:color w:val="FFFFFF" w:themeColor="background1"/>
                <w:kern w:val="2"/>
                <w:szCs w:val="20"/>
              </w:rPr>
              <w:t>Šetření na národní úrovni</w:t>
            </w:r>
          </w:p>
        </w:tc>
      </w:tr>
      <w:tr w:rsidR="00865C74" w:rsidRPr="008419DC" w14:paraId="316697DA" w14:textId="77777777" w:rsidTr="00186923">
        <w:trPr>
          <w:jc w:val="center"/>
        </w:trPr>
        <w:tc>
          <w:tcPr>
            <w:tcW w:w="4537" w:type="dxa"/>
            <w:shd w:val="clear" w:color="auto" w:fill="323E4F" w:themeFill="text2" w:themeFillShade="BF"/>
          </w:tcPr>
          <w:p w14:paraId="370A60EF"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Národní zpráva PISA 2022</w:t>
            </w:r>
          </w:p>
        </w:tc>
        <w:tc>
          <w:tcPr>
            <w:tcW w:w="4961" w:type="dxa"/>
            <w:shd w:val="clear" w:color="auto" w:fill="323E4F" w:themeFill="text2" w:themeFillShade="BF"/>
          </w:tcPr>
          <w:p w14:paraId="24357217"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https://www.csicr.cz/cz/Aktuality/Narodni-zprava-PISA-2022</w:t>
            </w:r>
          </w:p>
        </w:tc>
      </w:tr>
      <w:tr w:rsidR="00865C74" w:rsidRPr="008419DC" w14:paraId="5700F875" w14:textId="77777777" w:rsidTr="00186923">
        <w:trPr>
          <w:jc w:val="center"/>
        </w:trPr>
        <w:tc>
          <w:tcPr>
            <w:tcW w:w="4537" w:type="dxa"/>
            <w:shd w:val="clear" w:color="auto" w:fill="323E4F" w:themeFill="text2" w:themeFillShade="BF"/>
          </w:tcPr>
          <w:p w14:paraId="47DC4236"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 xml:space="preserve">PIRLS 2021: Inspirace pro rozvoj čtenářských dovedností </w:t>
            </w:r>
          </w:p>
        </w:tc>
        <w:tc>
          <w:tcPr>
            <w:tcW w:w="4961" w:type="dxa"/>
            <w:shd w:val="clear" w:color="auto" w:fill="323E4F" w:themeFill="text2" w:themeFillShade="BF"/>
          </w:tcPr>
          <w:p w14:paraId="67E4FE69"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https://www.csicr.cz/cz/Dokumenty/Publikace-a-ostatni-vystupy/PIRLS-2021-Inspirace-pro-rozvoj-ctenarskych-dovedn</w:t>
            </w:r>
          </w:p>
        </w:tc>
      </w:tr>
      <w:tr w:rsidR="00865C74" w:rsidRPr="008419DC" w14:paraId="3B097493" w14:textId="77777777" w:rsidTr="00186923">
        <w:trPr>
          <w:jc w:val="center"/>
        </w:trPr>
        <w:tc>
          <w:tcPr>
            <w:tcW w:w="4537" w:type="dxa"/>
            <w:shd w:val="clear" w:color="auto" w:fill="323E4F" w:themeFill="text2" w:themeFillShade="BF"/>
          </w:tcPr>
          <w:p w14:paraId="5B487313"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Výsledky vzdělávání žáků v základních a středních školách</w:t>
            </w:r>
          </w:p>
        </w:tc>
        <w:tc>
          <w:tcPr>
            <w:tcW w:w="4961" w:type="dxa"/>
            <w:shd w:val="clear" w:color="auto" w:fill="323E4F" w:themeFill="text2" w:themeFillShade="BF"/>
          </w:tcPr>
          <w:p w14:paraId="05738030"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https://app.powerbi.com/view?r=eyJrIjoiYjFhYzMyZGMtYzUwMi00ZmFiLTllYmEtOGQyMGQ1ZjJjNmQ1IiwidCI6IjE4ZjgyNjAxLTVkYWYtNDBiOS04MTk2LTVjMDkwYjFjYjdkMCIsImMiOjl9</w:t>
            </w:r>
          </w:p>
        </w:tc>
      </w:tr>
      <w:tr w:rsidR="00865C74" w:rsidRPr="008419DC" w14:paraId="2A5E7EB3" w14:textId="77777777" w:rsidTr="00186923">
        <w:trPr>
          <w:jc w:val="center"/>
        </w:trPr>
        <w:tc>
          <w:tcPr>
            <w:tcW w:w="4537" w:type="dxa"/>
            <w:shd w:val="clear" w:color="auto" w:fill="323E4F" w:themeFill="text2" w:themeFillShade="BF"/>
          </w:tcPr>
          <w:p w14:paraId="74C9FBA6"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České školství v datech</w:t>
            </w:r>
          </w:p>
        </w:tc>
        <w:tc>
          <w:tcPr>
            <w:tcW w:w="4961" w:type="dxa"/>
            <w:shd w:val="clear" w:color="auto" w:fill="323E4F" w:themeFill="text2" w:themeFillShade="BF"/>
          </w:tcPr>
          <w:p w14:paraId="03C7FDC1"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https://app.powerbi.com/view?r=eyJrIjoiODM3ODc2NTctNjI2Mi00OTYwLThkMmEtM2Y4Yjg1MzBhZDA2IiwidCI6IjE4ZjgyNjAxLTVkYWYtNDBiOS04MTk2LTVjMDkwYjFjYjdkMCIsImMiOjl9</w:t>
            </w:r>
          </w:p>
        </w:tc>
      </w:tr>
      <w:tr w:rsidR="00865C74" w:rsidRPr="008419DC" w14:paraId="79D783C8" w14:textId="77777777" w:rsidTr="00186923">
        <w:trPr>
          <w:jc w:val="center"/>
        </w:trPr>
        <w:tc>
          <w:tcPr>
            <w:tcW w:w="4537" w:type="dxa"/>
            <w:shd w:val="clear" w:color="auto" w:fill="323E4F" w:themeFill="text2" w:themeFillShade="BF"/>
          </w:tcPr>
          <w:p w14:paraId="062F6B9A"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PAQ Research: Mapa vzdělání</w:t>
            </w:r>
          </w:p>
        </w:tc>
        <w:tc>
          <w:tcPr>
            <w:tcW w:w="4961" w:type="dxa"/>
            <w:shd w:val="clear" w:color="auto" w:fill="323E4F" w:themeFill="text2" w:themeFillShade="BF"/>
          </w:tcPr>
          <w:p w14:paraId="643FACDD"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https://www.mapavzdelavani.cz/</w:t>
            </w:r>
          </w:p>
        </w:tc>
      </w:tr>
      <w:tr w:rsidR="00865C74" w:rsidRPr="008419DC" w14:paraId="71CBDA79" w14:textId="77777777" w:rsidTr="00186923">
        <w:trPr>
          <w:jc w:val="center"/>
        </w:trPr>
        <w:tc>
          <w:tcPr>
            <w:tcW w:w="4537" w:type="dxa"/>
            <w:shd w:val="clear" w:color="auto" w:fill="323E4F" w:themeFill="text2" w:themeFillShade="BF"/>
          </w:tcPr>
          <w:p w14:paraId="5BE78644"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 xml:space="preserve">ORP </w:t>
            </w:r>
            <w:proofErr w:type="gramStart"/>
            <w:r w:rsidRPr="008419DC">
              <w:rPr>
                <w:rFonts w:ascii="Calibri" w:hAnsi="Calibri" w:cs="Calibri"/>
                <w:color w:val="FFFFFF" w:themeColor="background1"/>
                <w:szCs w:val="20"/>
              </w:rPr>
              <w:t>Louny - Výzvy</w:t>
            </w:r>
            <w:proofErr w:type="gramEnd"/>
            <w:r w:rsidRPr="008419DC">
              <w:rPr>
                <w:rFonts w:ascii="Calibri" w:hAnsi="Calibri" w:cs="Calibri"/>
                <w:color w:val="FFFFFF" w:themeColor="background1"/>
                <w:szCs w:val="20"/>
              </w:rPr>
              <w:t>, možnosti zlepšení a doporučení pro vzdělávání a sociální situaci v regionu</w:t>
            </w:r>
          </w:p>
        </w:tc>
        <w:tc>
          <w:tcPr>
            <w:tcW w:w="4961" w:type="dxa"/>
            <w:shd w:val="clear" w:color="auto" w:fill="323E4F" w:themeFill="text2" w:themeFillShade="BF"/>
          </w:tcPr>
          <w:p w14:paraId="5C16CD39" w14:textId="77777777" w:rsidR="00865C74" w:rsidRPr="008419DC" w:rsidRDefault="00865C74" w:rsidP="00186923">
            <w:pPr>
              <w:ind w:hanging="25"/>
              <w:rPr>
                <w:rFonts w:ascii="Calibri" w:hAnsi="Calibri" w:cs="Calibri"/>
                <w:color w:val="FFFFFF" w:themeColor="background1"/>
                <w:szCs w:val="20"/>
              </w:rPr>
            </w:pPr>
            <w:r w:rsidRPr="008419DC">
              <w:rPr>
                <w:rFonts w:ascii="Calibri" w:hAnsi="Calibri" w:cs="Calibri"/>
                <w:color w:val="FFFFFF" w:themeColor="background1"/>
                <w:szCs w:val="20"/>
              </w:rPr>
              <w:t>https://raw.githubusercontent.com/paqresearch/mapavzdelavani-reporty/main/Louny/PAQreport_Louny.pdf</w:t>
            </w:r>
          </w:p>
        </w:tc>
      </w:tr>
    </w:tbl>
    <w:p w14:paraId="34893AD6" w14:textId="77777777" w:rsidR="00865C74" w:rsidRPr="008419DC"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r w:rsidRPr="008419DC">
        <w:rPr>
          <w:rFonts w:ascii="Calibri" w:hAnsi="Calibri" w:cs="Calibri"/>
          <w:b/>
          <w:bCs/>
          <w:i w:val="0"/>
          <w:iCs w:val="0"/>
          <w:color w:val="323E4F" w:themeColor="text2" w:themeShade="BF"/>
        </w:rPr>
        <w:t>Problémy ORP Louny – základní pohled</w:t>
      </w:r>
    </w:p>
    <w:p w14:paraId="0FA2E65B" w14:textId="77777777" w:rsidR="00865C74" w:rsidRPr="008C7B1B" w:rsidRDefault="00865C74" w:rsidP="00865C74">
      <w:pPr>
        <w:jc w:val="both"/>
        <w:rPr>
          <w:rFonts w:ascii="Calibri" w:hAnsi="Calibri" w:cs="Calibri"/>
        </w:rPr>
      </w:pPr>
      <w:r w:rsidRPr="008C7B1B">
        <w:rPr>
          <w:rFonts w:ascii="Calibri" w:hAnsi="Calibri" w:cs="Calibri"/>
        </w:rPr>
        <w:t xml:space="preserve">Analytická zprávy </w:t>
      </w:r>
      <w:r w:rsidRPr="008C7B1B">
        <w:rPr>
          <w:rFonts w:ascii="Calibri" w:hAnsi="Calibri" w:cs="Calibri"/>
          <w:i/>
          <w:iCs/>
        </w:rPr>
        <w:t>ORP Louny Výzvy, možnosti zlepšení a doporučení pro vzdělávání a sociální situaci v regionu PAQ Research</w:t>
      </w:r>
      <w:r w:rsidRPr="008C7B1B">
        <w:rPr>
          <w:rFonts w:ascii="Calibri" w:hAnsi="Calibri" w:cs="Calibri"/>
        </w:rPr>
        <w:t xml:space="preserve"> zmiňuje, že „ORP Louny má velmi vysoké problémy s destabilizující chudobou (exekuce, bytová nouze, děti žijící v sociálně vyloučených lokalitách). Destabilizující chudoba je v ORP Louny vyšší než v 88 % ORP v ČR. Destabilizující chudoba má silnou souvislost se vzdělávací neúspěšností.</w:t>
      </w:r>
    </w:p>
    <w:p w14:paraId="776BF6E4" w14:textId="77777777" w:rsidR="00865C74" w:rsidRPr="008C7B1B" w:rsidRDefault="00865C74" w:rsidP="00865C74">
      <w:pPr>
        <w:jc w:val="both"/>
        <w:rPr>
          <w:rFonts w:ascii="Calibri" w:hAnsi="Calibri" w:cs="Calibri"/>
        </w:rPr>
      </w:pPr>
      <w:r w:rsidRPr="00236BD5">
        <w:rPr>
          <w:rFonts w:ascii="Calibri" w:hAnsi="Calibri" w:cs="Calibri"/>
          <w:b/>
          <w:bCs/>
        </w:rPr>
        <w:t>ORP Louny má velmi vysoké obecné socioekonomické znevýhodnění</w:t>
      </w:r>
      <w:r w:rsidRPr="008C7B1B">
        <w:rPr>
          <w:rFonts w:ascii="Calibri" w:hAnsi="Calibri" w:cs="Calibri"/>
        </w:rPr>
        <w:t xml:space="preserve"> (nezaměstnanost, vzdělanostní struktura). To je v ORP Louny vyšší než v 81 % ORP v ČR. Socioekonomické znevýhodnění vyjadřuje ekonomické příležitosti v regionu a nemá tak silnou souvislost se vzdělávacími výsledky.</w:t>
      </w:r>
    </w:p>
    <w:p w14:paraId="03EB6DC3" w14:textId="77777777" w:rsidR="00865C74" w:rsidRPr="008C7B1B" w:rsidRDefault="00865C74" w:rsidP="00865C74">
      <w:pPr>
        <w:jc w:val="both"/>
        <w:rPr>
          <w:rFonts w:ascii="Calibri" w:hAnsi="Calibri" w:cs="Calibri"/>
        </w:rPr>
      </w:pPr>
      <w:r w:rsidRPr="008C7B1B">
        <w:rPr>
          <w:rFonts w:ascii="Calibri" w:hAnsi="Calibri" w:cs="Calibri"/>
        </w:rPr>
        <w:t>ORP Louny má velmi vysokou vzdělávací neúspěšnost (nedokončování ZŠ, propadání, absence). Vzdělávací neúspěšnost je v ORP Louny vyšší než v 91 % ORP v ČR a 50 % ORP v kraji.“</w:t>
      </w:r>
    </w:p>
    <w:p w14:paraId="79DE78B9" w14:textId="77777777" w:rsidR="00865C74" w:rsidRPr="00236BD5"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r w:rsidRPr="00236BD5">
        <w:rPr>
          <w:rFonts w:ascii="Calibri" w:hAnsi="Calibri" w:cs="Calibri"/>
          <w:b/>
          <w:bCs/>
          <w:i w:val="0"/>
          <w:iCs w:val="0"/>
          <w:color w:val="323E4F" w:themeColor="text2" w:themeShade="BF"/>
        </w:rPr>
        <w:t>Problémové oblasti ve vzdělání</w:t>
      </w:r>
    </w:p>
    <w:p w14:paraId="66CA5BD3" w14:textId="77777777" w:rsidR="00865C74" w:rsidRPr="008C7B1B" w:rsidRDefault="00865C74" w:rsidP="00865C74">
      <w:pPr>
        <w:jc w:val="both"/>
        <w:rPr>
          <w:rFonts w:ascii="Calibri" w:hAnsi="Calibri" w:cs="Calibri"/>
        </w:rPr>
      </w:pPr>
      <w:r w:rsidRPr="008C7B1B">
        <w:rPr>
          <w:rFonts w:ascii="Calibri" w:hAnsi="Calibri" w:cs="Calibri"/>
        </w:rPr>
        <w:t xml:space="preserve">Níže uvedená tabulka zobrazuje hodnoty v ORP Louny v porovnání se sociálně podobnou ORP a průměrem ČR. ORP Louny převyšuje průměr ČR, ale často i sociálně podobné ORP v oblastech </w:t>
      </w:r>
      <w:proofErr w:type="gramStart"/>
      <w:r w:rsidRPr="008C7B1B">
        <w:rPr>
          <w:rFonts w:ascii="Calibri" w:hAnsi="Calibri" w:cs="Calibri"/>
        </w:rPr>
        <w:t>vzdělávání</w:t>
      </w:r>
      <w:proofErr w:type="gramEnd"/>
      <w:r w:rsidRPr="008C7B1B">
        <w:rPr>
          <w:rFonts w:ascii="Calibri" w:hAnsi="Calibri" w:cs="Calibri"/>
        </w:rPr>
        <w:t xml:space="preserve"> a to zejména v nedokončování ZŠ, propadání v ZŠ, Propadání v 1. třídě a absenci v ZŠ.</w:t>
      </w:r>
    </w:p>
    <w:p w14:paraId="7C3188FD" w14:textId="77777777" w:rsidR="00865C74" w:rsidRPr="008C7B1B" w:rsidRDefault="00865C74" w:rsidP="00865C74">
      <w:pPr>
        <w:jc w:val="both"/>
        <w:rPr>
          <w:rFonts w:ascii="Calibri" w:hAnsi="Calibri" w:cs="Calibri"/>
        </w:rPr>
      </w:pPr>
      <w:r w:rsidRPr="008C7B1B">
        <w:rPr>
          <w:rFonts w:ascii="Calibri" w:hAnsi="Calibri" w:cs="Calibri"/>
        </w:rPr>
        <w:t>Sociálně podobná ORP: Broumov, Česká Lípa, Český Krumlov, Děčín, Havířov, Cheb, Jeseník, Karlovy Vary, Karviná, Krnov, Mariánské Lázně, Nový Bor, Ostrava, Ostrov, Podbořany, Rýmařov, Stříbro, Tanvald, Varnsdorf, Vítkov.</w:t>
      </w:r>
    </w:p>
    <w:tbl>
      <w:tblPr>
        <w:tblStyle w:val="Mkatabulky"/>
        <w:tblW w:w="0" w:type="auto"/>
        <w:tblInd w:w="-5" w:type="dxa"/>
        <w:tblLayout w:type="fixed"/>
        <w:tblCellMar>
          <w:left w:w="0" w:type="dxa"/>
          <w:right w:w="0" w:type="dxa"/>
        </w:tblCellMar>
        <w:tblLook w:val="0600" w:firstRow="0" w:lastRow="0" w:firstColumn="0" w:lastColumn="0" w:noHBand="1" w:noVBand="1"/>
      </w:tblPr>
      <w:tblGrid>
        <w:gridCol w:w="2268"/>
        <w:gridCol w:w="2268"/>
        <w:gridCol w:w="2268"/>
        <w:gridCol w:w="2268"/>
      </w:tblGrid>
      <w:tr w:rsidR="00865C74" w:rsidRPr="00236BD5" w14:paraId="7AF0C72F" w14:textId="77777777" w:rsidTr="00186923">
        <w:trPr>
          <w:trHeight w:val="797"/>
        </w:trPr>
        <w:tc>
          <w:tcPr>
            <w:tcW w:w="2268" w:type="dxa"/>
            <w:shd w:val="clear" w:color="auto" w:fill="323E4F" w:themeFill="text2" w:themeFillShade="BF"/>
          </w:tcPr>
          <w:p w14:paraId="13613BDD"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hyperlink r:id="rId5" w:anchor="definicesloupcu" w:tooltip="Zde najdete vysvětlení významu jednotlivých sloupců:">
              <w:r w:rsidRPr="00236BD5">
                <w:rPr>
                  <w:rFonts w:ascii="Calibri" w:eastAsia="Arial" w:hAnsi="Calibri" w:cs="Calibri"/>
                  <w:b/>
                  <w:color w:val="000000" w:themeColor="text1"/>
                  <w:sz w:val="22"/>
                  <w:szCs w:val="22"/>
                </w:rPr>
                <w:t xml:space="preserve"> </w:t>
              </w:r>
            </w:hyperlink>
          </w:p>
        </w:tc>
        <w:tc>
          <w:tcPr>
            <w:tcW w:w="2268" w:type="dxa"/>
            <w:shd w:val="clear" w:color="auto" w:fill="323E4F" w:themeFill="text2" w:themeFillShade="BF"/>
          </w:tcPr>
          <w:p w14:paraId="14423AC5"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hyperlink r:id="rId6" w:anchor="definicesloupcu" w:tooltip="Zde najdete vysvětlení významu jednotlivých sloupců:">
              <w:r w:rsidRPr="00236BD5">
                <w:rPr>
                  <w:rFonts w:ascii="Calibri" w:eastAsia="Arial" w:hAnsi="Calibri" w:cs="Calibri"/>
                  <w:color w:val="000000" w:themeColor="text1"/>
                  <w:sz w:val="22"/>
                  <w:szCs w:val="22"/>
                </w:rPr>
                <w:t>ORP Louny</w:t>
              </w:r>
            </w:hyperlink>
          </w:p>
        </w:tc>
        <w:tc>
          <w:tcPr>
            <w:tcW w:w="2268" w:type="dxa"/>
            <w:shd w:val="clear" w:color="auto" w:fill="323E4F" w:themeFill="text2" w:themeFillShade="BF"/>
          </w:tcPr>
          <w:p w14:paraId="4BD554DB"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hyperlink r:id="rId7" w:anchor="definicesloupcu" w:tooltip="Zde najdete vysvětlení významu jednotlivých sloupců:">
              <w:r w:rsidRPr="00236BD5">
                <w:rPr>
                  <w:rFonts w:ascii="Calibri" w:eastAsia="Arial" w:hAnsi="Calibri" w:cs="Calibri"/>
                  <w:color w:val="000000" w:themeColor="text1"/>
                  <w:sz w:val="22"/>
                  <w:szCs w:val="22"/>
                </w:rPr>
                <w:t>Sociálně podobná ORP</w:t>
              </w:r>
            </w:hyperlink>
          </w:p>
        </w:tc>
        <w:tc>
          <w:tcPr>
            <w:tcW w:w="2268" w:type="dxa"/>
            <w:shd w:val="clear" w:color="auto" w:fill="323E4F" w:themeFill="text2" w:themeFillShade="BF"/>
          </w:tcPr>
          <w:p w14:paraId="522545BA"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hyperlink r:id="rId8" w:anchor="definicesloupcu" w:tooltip="Zde najdete vysvětlení významu jednotlivých sloupců:">
              <w:r w:rsidRPr="00236BD5">
                <w:rPr>
                  <w:rFonts w:ascii="Calibri" w:eastAsia="Arial" w:hAnsi="Calibri" w:cs="Calibri"/>
                  <w:color w:val="000000" w:themeColor="text1"/>
                  <w:sz w:val="22"/>
                  <w:szCs w:val="22"/>
                </w:rPr>
                <w:t>Průměr ČR</w:t>
              </w:r>
            </w:hyperlink>
          </w:p>
        </w:tc>
      </w:tr>
      <w:tr w:rsidR="00865C74" w:rsidRPr="00236BD5" w14:paraId="1CDBFFBD" w14:textId="77777777" w:rsidTr="00186923">
        <w:trPr>
          <w:cantSplit/>
        </w:trPr>
        <w:tc>
          <w:tcPr>
            <w:tcW w:w="2268" w:type="dxa"/>
          </w:tcPr>
          <w:p w14:paraId="02165562"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Nedokončování ZŠ</w:t>
            </w:r>
          </w:p>
        </w:tc>
        <w:tc>
          <w:tcPr>
            <w:tcW w:w="2268" w:type="dxa"/>
          </w:tcPr>
          <w:p w14:paraId="2DD63518"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7,4 %</w:t>
            </w:r>
          </w:p>
        </w:tc>
        <w:tc>
          <w:tcPr>
            <w:tcW w:w="2268" w:type="dxa"/>
          </w:tcPr>
          <w:p w14:paraId="0DBF9ECF"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7,2 %</w:t>
            </w:r>
          </w:p>
        </w:tc>
        <w:tc>
          <w:tcPr>
            <w:tcW w:w="2268" w:type="dxa"/>
          </w:tcPr>
          <w:p w14:paraId="0B3C2173"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3,8 %</w:t>
            </w:r>
          </w:p>
        </w:tc>
      </w:tr>
      <w:tr w:rsidR="00865C74" w:rsidRPr="00236BD5" w14:paraId="337F5CDB" w14:textId="77777777" w:rsidTr="00186923">
        <w:trPr>
          <w:cantSplit/>
        </w:trPr>
        <w:tc>
          <w:tcPr>
            <w:tcW w:w="2268" w:type="dxa"/>
          </w:tcPr>
          <w:p w14:paraId="3EEEA9A9"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Propadání v ZŠ</w:t>
            </w:r>
          </w:p>
        </w:tc>
        <w:tc>
          <w:tcPr>
            <w:tcW w:w="2268" w:type="dxa"/>
          </w:tcPr>
          <w:p w14:paraId="64EF947B"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3,5 %</w:t>
            </w:r>
          </w:p>
        </w:tc>
        <w:tc>
          <w:tcPr>
            <w:tcW w:w="2268" w:type="dxa"/>
          </w:tcPr>
          <w:p w14:paraId="56201597"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2,7 %</w:t>
            </w:r>
          </w:p>
        </w:tc>
        <w:tc>
          <w:tcPr>
            <w:tcW w:w="2268" w:type="dxa"/>
          </w:tcPr>
          <w:p w14:paraId="27E912B4"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1,4 %</w:t>
            </w:r>
          </w:p>
        </w:tc>
      </w:tr>
      <w:tr w:rsidR="00865C74" w:rsidRPr="00236BD5" w14:paraId="01D74A19" w14:textId="77777777" w:rsidTr="00186923">
        <w:trPr>
          <w:cantSplit/>
        </w:trPr>
        <w:tc>
          <w:tcPr>
            <w:tcW w:w="2268" w:type="dxa"/>
          </w:tcPr>
          <w:p w14:paraId="381A12C1"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Propadání v 1. třídě</w:t>
            </w:r>
          </w:p>
        </w:tc>
        <w:tc>
          <w:tcPr>
            <w:tcW w:w="2268" w:type="dxa"/>
          </w:tcPr>
          <w:p w14:paraId="5B4E3DBE"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3,8 %</w:t>
            </w:r>
          </w:p>
        </w:tc>
        <w:tc>
          <w:tcPr>
            <w:tcW w:w="2268" w:type="dxa"/>
          </w:tcPr>
          <w:p w14:paraId="63A394BD"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4,0 %</w:t>
            </w:r>
          </w:p>
        </w:tc>
        <w:tc>
          <w:tcPr>
            <w:tcW w:w="2268" w:type="dxa"/>
          </w:tcPr>
          <w:p w14:paraId="158DF406"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2,9 %</w:t>
            </w:r>
          </w:p>
        </w:tc>
      </w:tr>
      <w:tr w:rsidR="00865C74" w:rsidRPr="00236BD5" w14:paraId="63DAA84F" w14:textId="77777777" w:rsidTr="00186923">
        <w:trPr>
          <w:cantSplit/>
        </w:trPr>
        <w:tc>
          <w:tcPr>
            <w:tcW w:w="2268" w:type="dxa"/>
          </w:tcPr>
          <w:p w14:paraId="3B42523C"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Absence v ZŠ</w:t>
            </w:r>
          </w:p>
        </w:tc>
        <w:tc>
          <w:tcPr>
            <w:tcW w:w="2268" w:type="dxa"/>
          </w:tcPr>
          <w:p w14:paraId="7A59A7A1"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100,2 h</w:t>
            </w:r>
          </w:p>
        </w:tc>
        <w:tc>
          <w:tcPr>
            <w:tcW w:w="2268" w:type="dxa"/>
          </w:tcPr>
          <w:p w14:paraId="5C80C88B"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95,4 h</w:t>
            </w:r>
          </w:p>
        </w:tc>
        <w:tc>
          <w:tcPr>
            <w:tcW w:w="2268" w:type="dxa"/>
          </w:tcPr>
          <w:p w14:paraId="539A5C7A"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hAnsi="Calibri" w:cs="Calibri"/>
                <w:color w:val="000000" w:themeColor="text1"/>
                <w:sz w:val="22"/>
                <w:szCs w:val="22"/>
              </w:rPr>
            </w:pPr>
            <w:r w:rsidRPr="00236BD5">
              <w:rPr>
                <w:rFonts w:ascii="Calibri" w:eastAsia="Fira Sans Condensed" w:hAnsi="Calibri" w:cs="Calibri"/>
                <w:color w:val="000000" w:themeColor="text1"/>
                <w:sz w:val="22"/>
                <w:szCs w:val="22"/>
              </w:rPr>
              <w:t>87,5 h</w:t>
            </w:r>
          </w:p>
        </w:tc>
      </w:tr>
      <w:tr w:rsidR="00865C74" w:rsidRPr="00236BD5" w14:paraId="0B5EE350" w14:textId="77777777" w:rsidTr="00186923">
        <w:trPr>
          <w:cantSplit/>
        </w:trPr>
        <w:tc>
          <w:tcPr>
            <w:tcW w:w="2268" w:type="dxa"/>
          </w:tcPr>
          <w:p w14:paraId="5677BF6E"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eastAsia="Fira Sans Condensed" w:hAnsi="Calibri" w:cs="Calibri"/>
                <w:color w:val="000000" w:themeColor="text1"/>
                <w:sz w:val="22"/>
                <w:szCs w:val="22"/>
              </w:rPr>
            </w:pPr>
            <w:r w:rsidRPr="00236BD5">
              <w:rPr>
                <w:rFonts w:ascii="Calibri" w:eastAsia="Fira Sans Condensed" w:hAnsi="Calibri" w:cs="Calibri"/>
                <w:color w:val="000000" w:themeColor="text1"/>
                <w:sz w:val="22"/>
                <w:szCs w:val="22"/>
              </w:rPr>
              <w:t>Podpora sociálně znevýhodněných žáků skrze SVP (kžv)</w:t>
            </w:r>
          </w:p>
        </w:tc>
        <w:tc>
          <w:tcPr>
            <w:tcW w:w="2268" w:type="dxa"/>
          </w:tcPr>
          <w:p w14:paraId="4AF7CBE8"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eastAsia="Fira Sans Condensed" w:hAnsi="Calibri" w:cs="Calibri"/>
                <w:color w:val="000000" w:themeColor="text1"/>
                <w:sz w:val="22"/>
                <w:szCs w:val="22"/>
              </w:rPr>
            </w:pPr>
            <w:r w:rsidRPr="00236BD5">
              <w:rPr>
                <w:rFonts w:ascii="Calibri" w:eastAsia="Fira Sans Condensed" w:hAnsi="Calibri" w:cs="Calibri"/>
                <w:color w:val="000000" w:themeColor="text1"/>
                <w:sz w:val="22"/>
                <w:szCs w:val="22"/>
              </w:rPr>
              <w:t>1,8 %</w:t>
            </w:r>
          </w:p>
        </w:tc>
        <w:tc>
          <w:tcPr>
            <w:tcW w:w="2268" w:type="dxa"/>
          </w:tcPr>
          <w:p w14:paraId="1F56612B"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eastAsia="Fira Sans Condensed" w:hAnsi="Calibri" w:cs="Calibri"/>
                <w:color w:val="000000" w:themeColor="text1"/>
                <w:sz w:val="22"/>
                <w:szCs w:val="22"/>
              </w:rPr>
            </w:pPr>
            <w:r w:rsidRPr="00236BD5">
              <w:rPr>
                <w:rFonts w:ascii="Calibri" w:eastAsia="Fira Sans Condensed" w:hAnsi="Calibri" w:cs="Calibri"/>
                <w:color w:val="000000" w:themeColor="text1"/>
                <w:sz w:val="22"/>
                <w:szCs w:val="22"/>
              </w:rPr>
              <w:t>3,3 %</w:t>
            </w:r>
          </w:p>
        </w:tc>
        <w:tc>
          <w:tcPr>
            <w:tcW w:w="2268" w:type="dxa"/>
          </w:tcPr>
          <w:p w14:paraId="4FDA78F3"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eastAsia="Fira Sans Condensed" w:hAnsi="Calibri" w:cs="Calibri"/>
                <w:color w:val="000000" w:themeColor="text1"/>
                <w:sz w:val="22"/>
                <w:szCs w:val="22"/>
              </w:rPr>
            </w:pPr>
            <w:r w:rsidRPr="00236BD5">
              <w:rPr>
                <w:rFonts w:ascii="Calibri" w:eastAsia="Fira Sans Condensed" w:hAnsi="Calibri" w:cs="Calibri"/>
                <w:color w:val="000000" w:themeColor="text1"/>
                <w:sz w:val="22"/>
                <w:szCs w:val="22"/>
              </w:rPr>
              <w:t>1,8 %</w:t>
            </w:r>
          </w:p>
        </w:tc>
      </w:tr>
      <w:tr w:rsidR="00865C74" w:rsidRPr="00236BD5" w14:paraId="6E90DBCB" w14:textId="77777777" w:rsidTr="00186923">
        <w:trPr>
          <w:cantSplit/>
        </w:trPr>
        <w:tc>
          <w:tcPr>
            <w:tcW w:w="2268" w:type="dxa"/>
          </w:tcPr>
          <w:p w14:paraId="52433027"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eastAsia="Fira Sans Condensed" w:hAnsi="Calibri" w:cs="Calibri"/>
                <w:color w:val="000000" w:themeColor="text1"/>
                <w:sz w:val="22"/>
                <w:szCs w:val="22"/>
              </w:rPr>
            </w:pPr>
            <w:r w:rsidRPr="00236BD5">
              <w:rPr>
                <w:rFonts w:ascii="Calibri" w:eastAsia="Fira Sans Condensed" w:hAnsi="Calibri" w:cs="Calibri"/>
                <w:color w:val="000000" w:themeColor="text1"/>
                <w:sz w:val="22"/>
                <w:szCs w:val="22"/>
              </w:rPr>
              <w:t>Odchody na víceletá gymnázia</w:t>
            </w:r>
          </w:p>
        </w:tc>
        <w:tc>
          <w:tcPr>
            <w:tcW w:w="2268" w:type="dxa"/>
          </w:tcPr>
          <w:p w14:paraId="769B3BEE"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eastAsia="Fira Sans Condensed" w:hAnsi="Calibri" w:cs="Calibri"/>
                <w:color w:val="000000" w:themeColor="text1"/>
                <w:sz w:val="22"/>
                <w:szCs w:val="22"/>
              </w:rPr>
            </w:pPr>
            <w:r w:rsidRPr="00236BD5">
              <w:rPr>
                <w:rFonts w:ascii="Calibri" w:eastAsia="Fira Sans Condensed" w:hAnsi="Calibri" w:cs="Calibri"/>
                <w:color w:val="000000" w:themeColor="text1"/>
                <w:sz w:val="22"/>
                <w:szCs w:val="22"/>
              </w:rPr>
              <w:t>7,3 %</w:t>
            </w:r>
          </w:p>
        </w:tc>
        <w:tc>
          <w:tcPr>
            <w:tcW w:w="2268" w:type="dxa"/>
          </w:tcPr>
          <w:p w14:paraId="3C570BA7"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eastAsia="Fira Sans Condensed" w:hAnsi="Calibri" w:cs="Calibri"/>
                <w:color w:val="000000" w:themeColor="text1"/>
                <w:sz w:val="22"/>
                <w:szCs w:val="22"/>
              </w:rPr>
            </w:pPr>
            <w:r w:rsidRPr="00236BD5">
              <w:rPr>
                <w:rFonts w:ascii="Calibri" w:eastAsia="Fira Sans Condensed" w:hAnsi="Calibri" w:cs="Calibri"/>
                <w:color w:val="000000" w:themeColor="text1"/>
                <w:sz w:val="22"/>
                <w:szCs w:val="22"/>
              </w:rPr>
              <w:t>9,3 %</w:t>
            </w:r>
          </w:p>
        </w:tc>
        <w:tc>
          <w:tcPr>
            <w:tcW w:w="2268" w:type="dxa"/>
          </w:tcPr>
          <w:p w14:paraId="7266D89C" w14:textId="77777777" w:rsidR="00865C74" w:rsidRPr="00236BD5" w:rsidRDefault="00865C74" w:rsidP="00186923">
            <w:pPr>
              <w:keepNext/>
              <w:pBdr>
                <w:top w:val="none" w:sz="0" w:space="0" w:color="000000"/>
                <w:left w:val="none" w:sz="0" w:space="0" w:color="000000"/>
                <w:bottom w:val="none" w:sz="0" w:space="0" w:color="000000"/>
                <w:right w:val="none" w:sz="0" w:space="0" w:color="000000"/>
              </w:pBdr>
              <w:spacing w:before="100" w:after="100"/>
              <w:ind w:left="100" w:right="100"/>
              <w:rPr>
                <w:rFonts w:ascii="Calibri" w:eastAsia="Fira Sans Condensed" w:hAnsi="Calibri" w:cs="Calibri"/>
                <w:color w:val="000000" w:themeColor="text1"/>
                <w:sz w:val="22"/>
                <w:szCs w:val="22"/>
              </w:rPr>
            </w:pPr>
            <w:r w:rsidRPr="00236BD5">
              <w:rPr>
                <w:rFonts w:ascii="Calibri" w:eastAsia="Fira Sans Condensed" w:hAnsi="Calibri" w:cs="Calibri"/>
                <w:color w:val="000000" w:themeColor="text1"/>
                <w:sz w:val="22"/>
                <w:szCs w:val="22"/>
              </w:rPr>
              <w:t>9,0 %</w:t>
            </w:r>
          </w:p>
        </w:tc>
      </w:tr>
    </w:tbl>
    <w:p w14:paraId="464CF627" w14:textId="77777777" w:rsidR="00865C74" w:rsidRPr="00236BD5"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000000" w:themeColor="text1"/>
        </w:rPr>
      </w:pPr>
      <w:r w:rsidRPr="00236BD5">
        <w:rPr>
          <w:rFonts w:ascii="Calibri" w:hAnsi="Calibri" w:cs="Calibri"/>
          <w:b/>
          <w:bCs/>
          <w:i w:val="0"/>
          <w:iCs w:val="0"/>
          <w:color w:val="000000" w:themeColor="text1"/>
        </w:rPr>
        <w:t>Děti s odkladem ve školní docházce v PV (%) – mateřské školy</w:t>
      </w:r>
    </w:p>
    <w:p w14:paraId="118C164E" w14:textId="77777777" w:rsidR="00865C74" w:rsidRPr="008C7B1B" w:rsidRDefault="00865C74" w:rsidP="00865C74">
      <w:pPr>
        <w:jc w:val="both"/>
        <w:rPr>
          <w:rFonts w:ascii="Calibri" w:hAnsi="Calibri" w:cs="Calibri"/>
        </w:rPr>
      </w:pPr>
      <w:r w:rsidRPr="008C7B1B">
        <w:rPr>
          <w:rFonts w:ascii="Calibri" w:hAnsi="Calibri" w:cs="Calibri"/>
        </w:rPr>
        <w:t>Podíl dětí s odkladem školní docházky mezi dětmi v povinném předškolním vzdělávání. Data odhalují určitý vzorec, kdy kromě některých okresů Jihomoravského kraje je Morava jako celek význačná vyšším podílem odkladů školní docházky. Další úsek s vyšším podílem takových dětí je Ústecký a částečně Liberecký kraj s Královehradeckým. Nižší podíl dětí s odkladem školní docházky v předškolním vzdělávání je naopak v okresech nacházejících se v pásu, který vede přes Středočeský kraj a kraj Vysočina. Data z období 2020/2021.</w:t>
      </w:r>
    </w:p>
    <w:p w14:paraId="46406389" w14:textId="77777777" w:rsidR="00865C74" w:rsidRPr="008C7B1B" w:rsidRDefault="00865C74" w:rsidP="00865C74">
      <w:pPr>
        <w:rPr>
          <w:rFonts w:ascii="Calibri" w:hAnsi="Calibri" w:cs="Calibri"/>
        </w:rPr>
      </w:pPr>
    </w:p>
    <w:tbl>
      <w:tblPr>
        <w:tblStyle w:val="Mkatabulky"/>
        <w:tblW w:w="0" w:type="auto"/>
        <w:tblLook w:val="04A0" w:firstRow="1" w:lastRow="0" w:firstColumn="1" w:lastColumn="0" w:noHBand="0" w:noVBand="1"/>
      </w:tblPr>
      <w:tblGrid>
        <w:gridCol w:w="4531"/>
        <w:gridCol w:w="4531"/>
      </w:tblGrid>
      <w:tr w:rsidR="00865C74" w:rsidRPr="008C7B1B" w14:paraId="2C24D954" w14:textId="77777777" w:rsidTr="00186923">
        <w:tc>
          <w:tcPr>
            <w:tcW w:w="4531" w:type="dxa"/>
            <w:shd w:val="clear" w:color="auto" w:fill="323E4F" w:themeFill="text2" w:themeFillShade="BF"/>
          </w:tcPr>
          <w:p w14:paraId="2F375743"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Okresy</w:t>
            </w:r>
          </w:p>
        </w:tc>
        <w:tc>
          <w:tcPr>
            <w:tcW w:w="4531" w:type="dxa"/>
            <w:shd w:val="clear" w:color="auto" w:fill="323E4F" w:themeFill="text2" w:themeFillShade="BF"/>
          </w:tcPr>
          <w:p w14:paraId="791B6CAB"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Odklad ve školní docházce v PV – podíl žáků v %</w:t>
            </w:r>
          </w:p>
        </w:tc>
      </w:tr>
      <w:tr w:rsidR="00865C74" w:rsidRPr="008C7B1B" w14:paraId="65C94300" w14:textId="77777777" w:rsidTr="00186923">
        <w:tc>
          <w:tcPr>
            <w:tcW w:w="4531" w:type="dxa"/>
          </w:tcPr>
          <w:p w14:paraId="1CB23313"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Jeseník</w:t>
            </w:r>
          </w:p>
        </w:tc>
        <w:tc>
          <w:tcPr>
            <w:tcW w:w="4531" w:type="dxa"/>
          </w:tcPr>
          <w:p w14:paraId="7B5E2548"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30,4 %</w:t>
            </w:r>
          </w:p>
        </w:tc>
      </w:tr>
      <w:tr w:rsidR="00865C74" w:rsidRPr="008C7B1B" w14:paraId="04FDA2F9" w14:textId="77777777" w:rsidTr="00186923">
        <w:tc>
          <w:tcPr>
            <w:tcW w:w="4531" w:type="dxa"/>
          </w:tcPr>
          <w:p w14:paraId="751C3CF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Hodonín</w:t>
            </w:r>
          </w:p>
        </w:tc>
        <w:tc>
          <w:tcPr>
            <w:tcW w:w="4531" w:type="dxa"/>
          </w:tcPr>
          <w:p w14:paraId="575C24D3"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23,8 %</w:t>
            </w:r>
          </w:p>
        </w:tc>
      </w:tr>
      <w:tr w:rsidR="00865C74" w:rsidRPr="008C7B1B" w14:paraId="162B66E5" w14:textId="77777777" w:rsidTr="00186923">
        <w:tc>
          <w:tcPr>
            <w:tcW w:w="4531" w:type="dxa"/>
          </w:tcPr>
          <w:p w14:paraId="1161E8A7"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Most</w:t>
            </w:r>
          </w:p>
        </w:tc>
        <w:tc>
          <w:tcPr>
            <w:tcW w:w="4531" w:type="dxa"/>
          </w:tcPr>
          <w:p w14:paraId="7426F900"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23,7 %</w:t>
            </w:r>
          </w:p>
        </w:tc>
      </w:tr>
      <w:tr w:rsidR="00865C74" w:rsidRPr="008C7B1B" w14:paraId="4C834EE3" w14:textId="77777777" w:rsidTr="00186923">
        <w:tc>
          <w:tcPr>
            <w:tcW w:w="4531" w:type="dxa"/>
          </w:tcPr>
          <w:p w14:paraId="1A171644"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Příbram</w:t>
            </w:r>
          </w:p>
        </w:tc>
        <w:tc>
          <w:tcPr>
            <w:tcW w:w="4531" w:type="dxa"/>
          </w:tcPr>
          <w:p w14:paraId="02BDF597"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22,5 %</w:t>
            </w:r>
          </w:p>
        </w:tc>
      </w:tr>
      <w:tr w:rsidR="00865C74" w:rsidRPr="008C7B1B" w14:paraId="2846D51F" w14:textId="77777777" w:rsidTr="00186923">
        <w:tc>
          <w:tcPr>
            <w:tcW w:w="4531" w:type="dxa"/>
          </w:tcPr>
          <w:p w14:paraId="64763AAC"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Louny</w:t>
            </w:r>
          </w:p>
        </w:tc>
        <w:tc>
          <w:tcPr>
            <w:tcW w:w="4531" w:type="dxa"/>
          </w:tcPr>
          <w:p w14:paraId="26B5D205" w14:textId="77777777" w:rsidR="00865C74" w:rsidRPr="008C7B1B" w:rsidRDefault="00865C74" w:rsidP="00186923">
            <w:pPr>
              <w:keepNext/>
              <w:jc w:val="both"/>
              <w:rPr>
                <w:rFonts w:ascii="Calibri" w:hAnsi="Calibri" w:cs="Calibri"/>
                <w:sz w:val="22"/>
                <w:szCs w:val="22"/>
              </w:rPr>
            </w:pPr>
            <w:r w:rsidRPr="008C7B1B">
              <w:rPr>
                <w:rFonts w:ascii="Calibri" w:hAnsi="Calibri" w:cs="Calibri"/>
                <w:sz w:val="22"/>
                <w:szCs w:val="22"/>
              </w:rPr>
              <w:t>22,4 %</w:t>
            </w:r>
          </w:p>
        </w:tc>
      </w:tr>
    </w:tbl>
    <w:p w14:paraId="406ACECB" w14:textId="77777777" w:rsidR="00865C74"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p>
    <w:p w14:paraId="5C8C14FD" w14:textId="77777777" w:rsidR="00865C74"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p>
    <w:p w14:paraId="050E268C" w14:textId="77777777" w:rsidR="00865C74" w:rsidRPr="00F16AB3"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r w:rsidRPr="00F16AB3">
        <w:rPr>
          <w:rFonts w:ascii="Calibri" w:hAnsi="Calibri" w:cs="Calibri"/>
          <w:b/>
          <w:bCs/>
          <w:i w:val="0"/>
          <w:iCs w:val="0"/>
          <w:color w:val="323E4F" w:themeColor="text2" w:themeShade="BF"/>
        </w:rPr>
        <w:t>Děti v poruchami, vadami a zdravotním znevýhodněním– mateřské školy</w:t>
      </w:r>
    </w:p>
    <w:p w14:paraId="0AE98D46" w14:textId="77777777" w:rsidR="00865C74" w:rsidRPr="008C7B1B" w:rsidRDefault="00865C74" w:rsidP="00865C74">
      <w:pPr>
        <w:jc w:val="both"/>
        <w:rPr>
          <w:rFonts w:ascii="Calibri" w:hAnsi="Calibri" w:cs="Calibri"/>
        </w:rPr>
      </w:pPr>
      <w:r w:rsidRPr="008C7B1B">
        <w:rPr>
          <w:rFonts w:ascii="Calibri" w:hAnsi="Calibri" w:cs="Calibri"/>
        </w:rPr>
        <w:t xml:space="preserve">Níže uvedená tabulka </w:t>
      </w:r>
      <w:r w:rsidRPr="00F16AB3">
        <w:rPr>
          <w:rFonts w:ascii="Calibri" w:hAnsi="Calibri" w:cs="Calibri"/>
          <w:b/>
          <w:bCs/>
        </w:rPr>
        <w:t>zobrazuje počet dětí v mateřských školách v okrese Louny s poruchami, vadami a zdravotním postižením.</w:t>
      </w:r>
      <w:r w:rsidRPr="008C7B1B">
        <w:rPr>
          <w:rFonts w:ascii="Calibri" w:hAnsi="Calibri" w:cs="Calibri"/>
        </w:rPr>
        <w:t xml:space="preserve"> Uvedené údaje předávají školy a školská zařízení elektronicky prostřednictvím tzv. výkonových výkazů Ministerstvu školství, mládeže a tělovýchovy.</w:t>
      </w:r>
    </w:p>
    <w:p w14:paraId="3CDD63B0" w14:textId="77777777" w:rsidR="00865C74" w:rsidRPr="008C7B1B" w:rsidRDefault="00865C74" w:rsidP="00865C74">
      <w:pPr>
        <w:rPr>
          <w:rFonts w:ascii="Calibri" w:hAnsi="Calibri" w:cs="Calibri"/>
        </w:rPr>
      </w:pPr>
      <w:r w:rsidRPr="008C7B1B">
        <w:rPr>
          <w:rFonts w:ascii="Calibri" w:hAnsi="Calibri" w:cs="Calibri"/>
        </w:rPr>
        <w:t>Signifikantní nárůst je patrný zejména u žáků se zdravotním znevýhodněním, kde ve sledovaném období došlo k nárůstu o přibližně 15 %.</w:t>
      </w:r>
    </w:p>
    <w:p w14:paraId="144625B1" w14:textId="77777777" w:rsidR="00865C74" w:rsidRPr="008C7B1B" w:rsidRDefault="00865C74" w:rsidP="00865C74">
      <w:pPr>
        <w:rPr>
          <w:rFonts w:ascii="Calibri" w:hAnsi="Calibri" w:cs="Calibri"/>
        </w:rPr>
      </w:pPr>
    </w:p>
    <w:tbl>
      <w:tblPr>
        <w:tblStyle w:val="Mkatabulky"/>
        <w:tblW w:w="0" w:type="auto"/>
        <w:tblLook w:val="04A0" w:firstRow="1" w:lastRow="0" w:firstColumn="1" w:lastColumn="0" w:noHBand="0" w:noVBand="1"/>
      </w:tblPr>
      <w:tblGrid>
        <w:gridCol w:w="3542"/>
        <w:gridCol w:w="1380"/>
        <w:gridCol w:w="1380"/>
        <w:gridCol w:w="1380"/>
        <w:gridCol w:w="1380"/>
      </w:tblGrid>
      <w:tr w:rsidR="00865C74" w:rsidRPr="008C7B1B" w14:paraId="71B364D1" w14:textId="77777777" w:rsidTr="00186923">
        <w:tc>
          <w:tcPr>
            <w:tcW w:w="3542" w:type="dxa"/>
            <w:shd w:val="clear" w:color="auto" w:fill="323E4F" w:themeFill="text2" w:themeFillShade="BF"/>
          </w:tcPr>
          <w:p w14:paraId="6220A71A"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Druh</w:t>
            </w:r>
          </w:p>
        </w:tc>
        <w:tc>
          <w:tcPr>
            <w:tcW w:w="1380" w:type="dxa"/>
            <w:shd w:val="clear" w:color="auto" w:fill="323E4F" w:themeFill="text2" w:themeFillShade="BF"/>
          </w:tcPr>
          <w:p w14:paraId="19B78C4E"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2020/2021</w:t>
            </w:r>
          </w:p>
        </w:tc>
        <w:tc>
          <w:tcPr>
            <w:tcW w:w="1380" w:type="dxa"/>
            <w:shd w:val="clear" w:color="auto" w:fill="323E4F" w:themeFill="text2" w:themeFillShade="BF"/>
          </w:tcPr>
          <w:p w14:paraId="318E497B"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2021/2023</w:t>
            </w:r>
          </w:p>
        </w:tc>
        <w:tc>
          <w:tcPr>
            <w:tcW w:w="1380" w:type="dxa"/>
            <w:shd w:val="clear" w:color="auto" w:fill="323E4F" w:themeFill="text2" w:themeFillShade="BF"/>
          </w:tcPr>
          <w:p w14:paraId="3AA5AF8D"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2022/2023</w:t>
            </w:r>
          </w:p>
        </w:tc>
        <w:tc>
          <w:tcPr>
            <w:tcW w:w="1380" w:type="dxa"/>
            <w:shd w:val="clear" w:color="auto" w:fill="323E4F" w:themeFill="text2" w:themeFillShade="BF"/>
          </w:tcPr>
          <w:p w14:paraId="014C9316"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2023/2024</w:t>
            </w:r>
          </w:p>
        </w:tc>
      </w:tr>
      <w:tr w:rsidR="00865C74" w:rsidRPr="008C7B1B" w14:paraId="4EEA9564" w14:textId="77777777" w:rsidTr="00186923">
        <w:tc>
          <w:tcPr>
            <w:tcW w:w="3542" w:type="dxa"/>
          </w:tcPr>
          <w:p w14:paraId="0A2F9E1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Poruchy autistického spektra</w:t>
            </w:r>
          </w:p>
        </w:tc>
        <w:tc>
          <w:tcPr>
            <w:tcW w:w="1380" w:type="dxa"/>
          </w:tcPr>
          <w:p w14:paraId="5FD18B09"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2</w:t>
            </w:r>
          </w:p>
        </w:tc>
        <w:tc>
          <w:tcPr>
            <w:tcW w:w="1380" w:type="dxa"/>
          </w:tcPr>
          <w:p w14:paraId="04CFC392"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3</w:t>
            </w:r>
          </w:p>
        </w:tc>
        <w:tc>
          <w:tcPr>
            <w:tcW w:w="1380" w:type="dxa"/>
          </w:tcPr>
          <w:p w14:paraId="318E6FB6"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2</w:t>
            </w:r>
          </w:p>
        </w:tc>
        <w:tc>
          <w:tcPr>
            <w:tcW w:w="1380" w:type="dxa"/>
          </w:tcPr>
          <w:p w14:paraId="40607162"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6</w:t>
            </w:r>
          </w:p>
        </w:tc>
      </w:tr>
      <w:tr w:rsidR="00865C74" w:rsidRPr="008C7B1B" w14:paraId="748A071E" w14:textId="77777777" w:rsidTr="00186923">
        <w:tc>
          <w:tcPr>
            <w:tcW w:w="3542" w:type="dxa"/>
          </w:tcPr>
          <w:p w14:paraId="1872008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Vady řeči</w:t>
            </w:r>
          </w:p>
        </w:tc>
        <w:tc>
          <w:tcPr>
            <w:tcW w:w="1380" w:type="dxa"/>
          </w:tcPr>
          <w:p w14:paraId="688B4E20"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61</w:t>
            </w:r>
          </w:p>
        </w:tc>
        <w:tc>
          <w:tcPr>
            <w:tcW w:w="1380" w:type="dxa"/>
          </w:tcPr>
          <w:p w14:paraId="434110F8"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61</w:t>
            </w:r>
          </w:p>
        </w:tc>
        <w:tc>
          <w:tcPr>
            <w:tcW w:w="1380" w:type="dxa"/>
          </w:tcPr>
          <w:p w14:paraId="3234D0C9"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66</w:t>
            </w:r>
          </w:p>
        </w:tc>
        <w:tc>
          <w:tcPr>
            <w:tcW w:w="1380" w:type="dxa"/>
          </w:tcPr>
          <w:p w14:paraId="2F3A8EEE"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64</w:t>
            </w:r>
          </w:p>
        </w:tc>
      </w:tr>
      <w:tr w:rsidR="00865C74" w:rsidRPr="008C7B1B" w14:paraId="4482C0E8" w14:textId="77777777" w:rsidTr="00186923">
        <w:tc>
          <w:tcPr>
            <w:tcW w:w="3542" w:type="dxa"/>
          </w:tcPr>
          <w:p w14:paraId="6E3FEEC0"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lastRenderedPageBreak/>
              <w:t>Vývojové poruchy chování</w:t>
            </w:r>
          </w:p>
        </w:tc>
        <w:tc>
          <w:tcPr>
            <w:tcW w:w="1380" w:type="dxa"/>
          </w:tcPr>
          <w:p w14:paraId="25B72879"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12</w:t>
            </w:r>
          </w:p>
        </w:tc>
        <w:tc>
          <w:tcPr>
            <w:tcW w:w="1380" w:type="dxa"/>
          </w:tcPr>
          <w:p w14:paraId="7E987302"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16</w:t>
            </w:r>
          </w:p>
        </w:tc>
        <w:tc>
          <w:tcPr>
            <w:tcW w:w="1380" w:type="dxa"/>
          </w:tcPr>
          <w:p w14:paraId="398117C0"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12</w:t>
            </w:r>
          </w:p>
        </w:tc>
        <w:tc>
          <w:tcPr>
            <w:tcW w:w="1380" w:type="dxa"/>
          </w:tcPr>
          <w:p w14:paraId="2878FCB0"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17</w:t>
            </w:r>
          </w:p>
        </w:tc>
      </w:tr>
      <w:tr w:rsidR="00865C74" w:rsidRPr="008C7B1B" w14:paraId="31683EA4" w14:textId="77777777" w:rsidTr="00186923">
        <w:tc>
          <w:tcPr>
            <w:tcW w:w="3542" w:type="dxa"/>
          </w:tcPr>
          <w:p w14:paraId="672F5D5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Vývojové poruchy učení</w:t>
            </w:r>
          </w:p>
        </w:tc>
        <w:tc>
          <w:tcPr>
            <w:tcW w:w="1380" w:type="dxa"/>
          </w:tcPr>
          <w:p w14:paraId="1F1DDE3B"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10</w:t>
            </w:r>
          </w:p>
        </w:tc>
        <w:tc>
          <w:tcPr>
            <w:tcW w:w="1380" w:type="dxa"/>
          </w:tcPr>
          <w:p w14:paraId="57E3334E"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0</w:t>
            </w:r>
          </w:p>
        </w:tc>
        <w:tc>
          <w:tcPr>
            <w:tcW w:w="1380" w:type="dxa"/>
          </w:tcPr>
          <w:p w14:paraId="4234282E"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0</w:t>
            </w:r>
          </w:p>
        </w:tc>
        <w:tc>
          <w:tcPr>
            <w:tcW w:w="1380" w:type="dxa"/>
          </w:tcPr>
          <w:p w14:paraId="65F63551"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6</w:t>
            </w:r>
          </w:p>
        </w:tc>
      </w:tr>
      <w:tr w:rsidR="00865C74" w:rsidRPr="008C7B1B" w14:paraId="22541DA9" w14:textId="77777777" w:rsidTr="00186923">
        <w:tc>
          <w:tcPr>
            <w:tcW w:w="3542" w:type="dxa"/>
          </w:tcPr>
          <w:p w14:paraId="0737E7BB"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Zdravotní znevýhodnění</w:t>
            </w:r>
          </w:p>
        </w:tc>
        <w:tc>
          <w:tcPr>
            <w:tcW w:w="1380" w:type="dxa"/>
          </w:tcPr>
          <w:p w14:paraId="06C1B5B9" w14:textId="77777777" w:rsidR="00865C74" w:rsidRPr="008C7B1B" w:rsidRDefault="00865C74" w:rsidP="00186923">
            <w:pPr>
              <w:keepNext/>
              <w:jc w:val="center"/>
              <w:rPr>
                <w:rFonts w:ascii="Calibri" w:hAnsi="Calibri" w:cs="Calibri"/>
                <w:sz w:val="22"/>
                <w:szCs w:val="22"/>
              </w:rPr>
            </w:pPr>
            <w:r w:rsidRPr="008C7B1B">
              <w:rPr>
                <w:rFonts w:ascii="Calibri" w:hAnsi="Calibri" w:cs="Calibri"/>
                <w:sz w:val="22"/>
                <w:szCs w:val="22"/>
              </w:rPr>
              <w:t>117</w:t>
            </w:r>
          </w:p>
        </w:tc>
        <w:tc>
          <w:tcPr>
            <w:tcW w:w="1380" w:type="dxa"/>
          </w:tcPr>
          <w:p w14:paraId="506523F1" w14:textId="77777777" w:rsidR="00865C74" w:rsidRPr="008C7B1B" w:rsidRDefault="00865C74" w:rsidP="00186923">
            <w:pPr>
              <w:keepNext/>
              <w:jc w:val="center"/>
              <w:rPr>
                <w:rFonts w:ascii="Calibri" w:hAnsi="Calibri" w:cs="Calibri"/>
                <w:sz w:val="22"/>
                <w:szCs w:val="22"/>
              </w:rPr>
            </w:pPr>
            <w:r w:rsidRPr="008C7B1B">
              <w:rPr>
                <w:rFonts w:ascii="Calibri" w:hAnsi="Calibri" w:cs="Calibri"/>
                <w:sz w:val="22"/>
                <w:szCs w:val="22"/>
              </w:rPr>
              <w:t>122</w:t>
            </w:r>
          </w:p>
        </w:tc>
        <w:tc>
          <w:tcPr>
            <w:tcW w:w="1380" w:type="dxa"/>
          </w:tcPr>
          <w:p w14:paraId="5320B50F" w14:textId="77777777" w:rsidR="00865C74" w:rsidRPr="008C7B1B" w:rsidRDefault="00865C74" w:rsidP="00186923">
            <w:pPr>
              <w:keepNext/>
              <w:jc w:val="center"/>
              <w:rPr>
                <w:rFonts w:ascii="Calibri" w:hAnsi="Calibri" w:cs="Calibri"/>
                <w:sz w:val="22"/>
                <w:szCs w:val="22"/>
              </w:rPr>
            </w:pPr>
            <w:r w:rsidRPr="008C7B1B">
              <w:rPr>
                <w:rFonts w:ascii="Calibri" w:hAnsi="Calibri" w:cs="Calibri"/>
                <w:sz w:val="22"/>
                <w:szCs w:val="22"/>
              </w:rPr>
              <w:t>125</w:t>
            </w:r>
          </w:p>
        </w:tc>
        <w:tc>
          <w:tcPr>
            <w:tcW w:w="1380" w:type="dxa"/>
          </w:tcPr>
          <w:p w14:paraId="28CED87E" w14:textId="77777777" w:rsidR="00865C74" w:rsidRPr="008C7B1B" w:rsidRDefault="00865C74" w:rsidP="00186923">
            <w:pPr>
              <w:keepNext/>
              <w:jc w:val="center"/>
              <w:rPr>
                <w:rFonts w:ascii="Calibri" w:hAnsi="Calibri" w:cs="Calibri"/>
                <w:sz w:val="22"/>
                <w:szCs w:val="22"/>
              </w:rPr>
            </w:pPr>
            <w:r w:rsidRPr="008C7B1B">
              <w:rPr>
                <w:rFonts w:ascii="Calibri" w:hAnsi="Calibri" w:cs="Calibri"/>
                <w:sz w:val="22"/>
                <w:szCs w:val="22"/>
              </w:rPr>
              <w:t>135</w:t>
            </w:r>
          </w:p>
        </w:tc>
      </w:tr>
    </w:tbl>
    <w:p w14:paraId="1002A59A" w14:textId="77777777" w:rsidR="00865C74" w:rsidRPr="008C7B1B" w:rsidRDefault="00865C74" w:rsidP="00865C74">
      <w:pPr>
        <w:rPr>
          <w:rFonts w:ascii="Calibri" w:hAnsi="Calibri" w:cs="Calibri"/>
        </w:rPr>
      </w:pPr>
    </w:p>
    <w:p w14:paraId="5097CA2E" w14:textId="77777777" w:rsidR="00865C74" w:rsidRPr="00F16AB3"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r w:rsidRPr="00F16AB3">
        <w:rPr>
          <w:rFonts w:ascii="Calibri" w:hAnsi="Calibri" w:cs="Calibri"/>
          <w:b/>
          <w:bCs/>
          <w:i w:val="0"/>
          <w:iCs w:val="0"/>
          <w:color w:val="323E4F" w:themeColor="text2" w:themeShade="BF"/>
        </w:rPr>
        <w:t>Šetření čtenářské gramotnosti základních škol</w:t>
      </w:r>
    </w:p>
    <w:p w14:paraId="6A341A41" w14:textId="77777777" w:rsidR="00865C74" w:rsidRPr="008C7B1B" w:rsidRDefault="00865C74" w:rsidP="00865C74">
      <w:pPr>
        <w:jc w:val="both"/>
        <w:rPr>
          <w:rFonts w:ascii="Calibri" w:hAnsi="Calibri" w:cs="Calibri"/>
        </w:rPr>
      </w:pPr>
      <w:r w:rsidRPr="008C7B1B">
        <w:rPr>
          <w:rFonts w:ascii="Calibri" w:hAnsi="Calibri" w:cs="Calibri"/>
        </w:rPr>
        <w:t>Šetření čtenářské gramotnosti základních škol zjišťovalo výsledky žáků v oblastech souvisejících s různými čtenářskými dovednostmi žáků (např. vyhledávání informace v textu, odvození informace z textu, seřazení událostí děje a další).</w:t>
      </w:r>
    </w:p>
    <w:p w14:paraId="6BE01DC1" w14:textId="77777777" w:rsidR="00865C74" w:rsidRPr="008C7B1B" w:rsidRDefault="00865C74" w:rsidP="00865C74">
      <w:pPr>
        <w:jc w:val="both"/>
        <w:rPr>
          <w:rFonts w:ascii="Calibri" w:hAnsi="Calibri" w:cs="Calibri"/>
        </w:rPr>
      </w:pPr>
      <w:r w:rsidRPr="008C7B1B">
        <w:rPr>
          <w:rFonts w:ascii="Calibri" w:hAnsi="Calibri" w:cs="Calibri"/>
        </w:rPr>
        <w:t>Níže uvedená tabulka zobrazuje 5 okresů s nejvyšším procentem žáků s nedostačujícími čtenářskými dovednostmi v 5. ročníku. Hodnocení je za školní rok 2022/2023. Hodnoceno na úrovni krajů.</w:t>
      </w:r>
    </w:p>
    <w:p w14:paraId="0FE275C5" w14:textId="77777777" w:rsidR="00865C74" w:rsidRPr="008C7B1B" w:rsidRDefault="00865C74" w:rsidP="00865C74">
      <w:pPr>
        <w:jc w:val="both"/>
        <w:rPr>
          <w:rFonts w:ascii="Calibri" w:hAnsi="Calibri" w:cs="Calibri"/>
        </w:rPr>
      </w:pPr>
    </w:p>
    <w:tbl>
      <w:tblPr>
        <w:tblStyle w:val="Mkatabulky"/>
        <w:tblW w:w="0" w:type="auto"/>
        <w:tblLook w:val="04A0" w:firstRow="1" w:lastRow="0" w:firstColumn="1" w:lastColumn="0" w:noHBand="0" w:noVBand="1"/>
      </w:tblPr>
      <w:tblGrid>
        <w:gridCol w:w="4531"/>
        <w:gridCol w:w="4531"/>
      </w:tblGrid>
      <w:tr w:rsidR="00865C74" w:rsidRPr="008C7B1B" w14:paraId="1114194B" w14:textId="77777777" w:rsidTr="00186923">
        <w:tc>
          <w:tcPr>
            <w:tcW w:w="4531" w:type="dxa"/>
            <w:shd w:val="clear" w:color="auto" w:fill="323E4F" w:themeFill="text2" w:themeFillShade="BF"/>
          </w:tcPr>
          <w:p w14:paraId="7DCCB565"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Kraje</w:t>
            </w:r>
          </w:p>
        </w:tc>
        <w:tc>
          <w:tcPr>
            <w:tcW w:w="4531" w:type="dxa"/>
            <w:shd w:val="clear" w:color="auto" w:fill="323E4F" w:themeFill="text2" w:themeFillShade="BF"/>
          </w:tcPr>
          <w:p w14:paraId="3157D1B0"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Nedostačující znalosti – podíl žáků v %</w:t>
            </w:r>
          </w:p>
        </w:tc>
      </w:tr>
      <w:tr w:rsidR="00865C74" w:rsidRPr="008C7B1B" w14:paraId="623A10FD" w14:textId="77777777" w:rsidTr="00186923">
        <w:tc>
          <w:tcPr>
            <w:tcW w:w="4531" w:type="dxa"/>
          </w:tcPr>
          <w:p w14:paraId="4B1B093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Ústecký</w:t>
            </w:r>
          </w:p>
        </w:tc>
        <w:tc>
          <w:tcPr>
            <w:tcW w:w="4531" w:type="dxa"/>
          </w:tcPr>
          <w:p w14:paraId="673E75CC"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32,28 %</w:t>
            </w:r>
          </w:p>
        </w:tc>
      </w:tr>
      <w:tr w:rsidR="00865C74" w:rsidRPr="008C7B1B" w14:paraId="651865E0" w14:textId="77777777" w:rsidTr="00186923">
        <w:tc>
          <w:tcPr>
            <w:tcW w:w="4531" w:type="dxa"/>
          </w:tcPr>
          <w:p w14:paraId="68AA99B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Karlovarský</w:t>
            </w:r>
          </w:p>
        </w:tc>
        <w:tc>
          <w:tcPr>
            <w:tcW w:w="4531" w:type="dxa"/>
          </w:tcPr>
          <w:p w14:paraId="73D8F413"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27,39 %</w:t>
            </w:r>
          </w:p>
        </w:tc>
      </w:tr>
      <w:tr w:rsidR="00865C74" w:rsidRPr="008C7B1B" w14:paraId="42831029" w14:textId="77777777" w:rsidTr="00186923">
        <w:tc>
          <w:tcPr>
            <w:tcW w:w="4531" w:type="dxa"/>
          </w:tcPr>
          <w:p w14:paraId="74092EA5"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Plzeňský</w:t>
            </w:r>
          </w:p>
        </w:tc>
        <w:tc>
          <w:tcPr>
            <w:tcW w:w="4531" w:type="dxa"/>
          </w:tcPr>
          <w:p w14:paraId="1F4F5BD7"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25,92 %</w:t>
            </w:r>
          </w:p>
        </w:tc>
      </w:tr>
      <w:tr w:rsidR="00865C74" w:rsidRPr="008C7B1B" w14:paraId="3129C2E9" w14:textId="77777777" w:rsidTr="00186923">
        <w:tc>
          <w:tcPr>
            <w:tcW w:w="4531" w:type="dxa"/>
          </w:tcPr>
          <w:p w14:paraId="390FD28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Jihočeský</w:t>
            </w:r>
          </w:p>
        </w:tc>
        <w:tc>
          <w:tcPr>
            <w:tcW w:w="4531" w:type="dxa"/>
          </w:tcPr>
          <w:p w14:paraId="2F0D6D60"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25,03 %</w:t>
            </w:r>
          </w:p>
        </w:tc>
      </w:tr>
      <w:tr w:rsidR="00865C74" w:rsidRPr="008C7B1B" w14:paraId="78F7BD47" w14:textId="77777777" w:rsidTr="00186923">
        <w:tc>
          <w:tcPr>
            <w:tcW w:w="4531" w:type="dxa"/>
          </w:tcPr>
          <w:p w14:paraId="2A271F9D"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Liberecký</w:t>
            </w:r>
          </w:p>
        </w:tc>
        <w:tc>
          <w:tcPr>
            <w:tcW w:w="4531" w:type="dxa"/>
          </w:tcPr>
          <w:p w14:paraId="39F4A200" w14:textId="77777777" w:rsidR="00865C74" w:rsidRPr="008C7B1B" w:rsidRDefault="00865C74" w:rsidP="00186923">
            <w:pPr>
              <w:keepNext/>
              <w:jc w:val="both"/>
              <w:rPr>
                <w:rFonts w:ascii="Calibri" w:hAnsi="Calibri" w:cs="Calibri"/>
                <w:sz w:val="22"/>
                <w:szCs w:val="22"/>
              </w:rPr>
            </w:pPr>
            <w:r w:rsidRPr="008C7B1B">
              <w:rPr>
                <w:rFonts w:ascii="Calibri" w:hAnsi="Calibri" w:cs="Calibri"/>
                <w:sz w:val="22"/>
                <w:szCs w:val="22"/>
              </w:rPr>
              <w:t>24,82 %</w:t>
            </w:r>
          </w:p>
        </w:tc>
      </w:tr>
    </w:tbl>
    <w:p w14:paraId="5325407B" w14:textId="77777777" w:rsidR="00865C74" w:rsidRDefault="00865C74" w:rsidP="00865C74">
      <w:pPr>
        <w:jc w:val="both"/>
        <w:rPr>
          <w:rFonts w:ascii="Calibri" w:hAnsi="Calibri" w:cs="Calibri"/>
        </w:rPr>
      </w:pPr>
    </w:p>
    <w:p w14:paraId="572799E8" w14:textId="77777777" w:rsidR="00865C74" w:rsidRDefault="00865C74" w:rsidP="00865C74">
      <w:pPr>
        <w:jc w:val="both"/>
        <w:rPr>
          <w:rFonts w:ascii="Calibri" w:hAnsi="Calibri" w:cs="Calibri"/>
        </w:rPr>
      </w:pPr>
    </w:p>
    <w:p w14:paraId="2548305A" w14:textId="77777777" w:rsidR="00865C74" w:rsidRPr="008C7B1B" w:rsidRDefault="00865C74" w:rsidP="00865C74">
      <w:pPr>
        <w:jc w:val="both"/>
        <w:rPr>
          <w:rFonts w:ascii="Calibri" w:hAnsi="Calibri" w:cs="Calibri"/>
        </w:rPr>
      </w:pPr>
      <w:r w:rsidRPr="008C7B1B">
        <w:rPr>
          <w:rFonts w:ascii="Calibri" w:hAnsi="Calibri" w:cs="Calibri"/>
        </w:rPr>
        <w:t>Níže uvedená tabulka zobrazuje 5 okresů s nejvyšším procentem žáků s nedostačujícími čtenářskými dovednostmi v 9. ročníku. Hodnocení je za školní rok 2022/2023. Hodnoceno na úrovni krajů.</w:t>
      </w:r>
    </w:p>
    <w:p w14:paraId="5D73A2B8" w14:textId="77777777" w:rsidR="00865C74" w:rsidRPr="008C7B1B" w:rsidRDefault="00865C74" w:rsidP="00865C74">
      <w:pPr>
        <w:jc w:val="both"/>
        <w:rPr>
          <w:rFonts w:ascii="Calibri" w:hAnsi="Calibri" w:cs="Calibri"/>
        </w:rPr>
      </w:pPr>
    </w:p>
    <w:tbl>
      <w:tblPr>
        <w:tblStyle w:val="Mkatabulky"/>
        <w:tblW w:w="0" w:type="auto"/>
        <w:tblLook w:val="04A0" w:firstRow="1" w:lastRow="0" w:firstColumn="1" w:lastColumn="0" w:noHBand="0" w:noVBand="1"/>
      </w:tblPr>
      <w:tblGrid>
        <w:gridCol w:w="4531"/>
        <w:gridCol w:w="4531"/>
      </w:tblGrid>
      <w:tr w:rsidR="00865C74" w:rsidRPr="008C7B1B" w14:paraId="02F8635C" w14:textId="77777777" w:rsidTr="00186923">
        <w:tc>
          <w:tcPr>
            <w:tcW w:w="4531" w:type="dxa"/>
            <w:shd w:val="clear" w:color="auto" w:fill="323E4F" w:themeFill="text2" w:themeFillShade="BF"/>
          </w:tcPr>
          <w:p w14:paraId="38364543"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Kraje</w:t>
            </w:r>
          </w:p>
        </w:tc>
        <w:tc>
          <w:tcPr>
            <w:tcW w:w="4531" w:type="dxa"/>
            <w:shd w:val="clear" w:color="auto" w:fill="323E4F" w:themeFill="text2" w:themeFillShade="BF"/>
          </w:tcPr>
          <w:p w14:paraId="150BDBB5"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Nedostačující znalosti – podíl žáků v %</w:t>
            </w:r>
          </w:p>
        </w:tc>
      </w:tr>
      <w:tr w:rsidR="00865C74" w:rsidRPr="008C7B1B" w14:paraId="5DDF08CC" w14:textId="77777777" w:rsidTr="00186923">
        <w:tc>
          <w:tcPr>
            <w:tcW w:w="4531" w:type="dxa"/>
          </w:tcPr>
          <w:p w14:paraId="0E08612B"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Ústecký</w:t>
            </w:r>
          </w:p>
        </w:tc>
        <w:tc>
          <w:tcPr>
            <w:tcW w:w="4531" w:type="dxa"/>
          </w:tcPr>
          <w:p w14:paraId="7284708F"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19,94 %</w:t>
            </w:r>
          </w:p>
        </w:tc>
      </w:tr>
      <w:tr w:rsidR="00865C74" w:rsidRPr="008C7B1B" w14:paraId="59D3D45A" w14:textId="77777777" w:rsidTr="00186923">
        <w:tc>
          <w:tcPr>
            <w:tcW w:w="4531" w:type="dxa"/>
          </w:tcPr>
          <w:p w14:paraId="506154D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Karlovarský</w:t>
            </w:r>
          </w:p>
        </w:tc>
        <w:tc>
          <w:tcPr>
            <w:tcW w:w="4531" w:type="dxa"/>
          </w:tcPr>
          <w:p w14:paraId="4100E166"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19,17 %</w:t>
            </w:r>
          </w:p>
        </w:tc>
      </w:tr>
      <w:tr w:rsidR="00865C74" w:rsidRPr="008C7B1B" w14:paraId="681243D8" w14:textId="77777777" w:rsidTr="00186923">
        <w:tc>
          <w:tcPr>
            <w:tcW w:w="4531" w:type="dxa"/>
          </w:tcPr>
          <w:p w14:paraId="2E8679C8"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Jihočeský</w:t>
            </w:r>
          </w:p>
        </w:tc>
        <w:tc>
          <w:tcPr>
            <w:tcW w:w="4531" w:type="dxa"/>
          </w:tcPr>
          <w:p w14:paraId="77FAB582"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17,97 %</w:t>
            </w:r>
          </w:p>
        </w:tc>
      </w:tr>
      <w:tr w:rsidR="00865C74" w:rsidRPr="008C7B1B" w14:paraId="3778319B" w14:textId="77777777" w:rsidTr="00186923">
        <w:tc>
          <w:tcPr>
            <w:tcW w:w="4531" w:type="dxa"/>
          </w:tcPr>
          <w:p w14:paraId="1FC1ACFB"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Středočeský</w:t>
            </w:r>
          </w:p>
        </w:tc>
        <w:tc>
          <w:tcPr>
            <w:tcW w:w="4531" w:type="dxa"/>
          </w:tcPr>
          <w:p w14:paraId="6415E828"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17,08 %</w:t>
            </w:r>
          </w:p>
        </w:tc>
      </w:tr>
      <w:tr w:rsidR="00865C74" w:rsidRPr="008C7B1B" w14:paraId="5DAD2417" w14:textId="77777777" w:rsidTr="00186923">
        <w:tc>
          <w:tcPr>
            <w:tcW w:w="4531" w:type="dxa"/>
          </w:tcPr>
          <w:p w14:paraId="1913D071"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Olomoucký</w:t>
            </w:r>
          </w:p>
        </w:tc>
        <w:tc>
          <w:tcPr>
            <w:tcW w:w="4531" w:type="dxa"/>
          </w:tcPr>
          <w:p w14:paraId="28303D51" w14:textId="77777777" w:rsidR="00865C74" w:rsidRPr="008C7B1B" w:rsidRDefault="00865C74" w:rsidP="00186923">
            <w:pPr>
              <w:keepNext/>
              <w:jc w:val="both"/>
              <w:rPr>
                <w:rFonts w:ascii="Calibri" w:hAnsi="Calibri" w:cs="Calibri"/>
                <w:sz w:val="22"/>
                <w:szCs w:val="22"/>
              </w:rPr>
            </w:pPr>
            <w:r w:rsidRPr="008C7B1B">
              <w:rPr>
                <w:rFonts w:ascii="Calibri" w:hAnsi="Calibri" w:cs="Calibri"/>
                <w:sz w:val="22"/>
                <w:szCs w:val="22"/>
              </w:rPr>
              <w:t>17,05 %</w:t>
            </w:r>
          </w:p>
        </w:tc>
      </w:tr>
    </w:tbl>
    <w:p w14:paraId="564E7420" w14:textId="77777777" w:rsidR="00865C74" w:rsidRPr="00F16AB3"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r w:rsidRPr="00F16AB3">
        <w:rPr>
          <w:rFonts w:ascii="Calibri" w:hAnsi="Calibri" w:cs="Calibri"/>
          <w:b/>
          <w:bCs/>
          <w:i w:val="0"/>
          <w:iCs w:val="0"/>
          <w:color w:val="323E4F" w:themeColor="text2" w:themeShade="BF"/>
        </w:rPr>
        <w:t>Šetření z českého jazyka základních škol</w:t>
      </w:r>
    </w:p>
    <w:p w14:paraId="1AC9CD70" w14:textId="77777777" w:rsidR="00865C74" w:rsidRPr="008C7B1B" w:rsidRDefault="00865C74" w:rsidP="00865C74">
      <w:pPr>
        <w:rPr>
          <w:rFonts w:ascii="Calibri" w:hAnsi="Calibri" w:cs="Calibri"/>
        </w:rPr>
      </w:pPr>
      <w:r w:rsidRPr="008C7B1B">
        <w:rPr>
          <w:rFonts w:ascii="Calibri" w:hAnsi="Calibri" w:cs="Calibri"/>
        </w:rPr>
        <w:t>Šetření z českého jazyka základních škol zjišťovalo výsledky žáků v oblastech slovní zásoba, pravopis a porozumění textu.</w:t>
      </w:r>
    </w:p>
    <w:p w14:paraId="4ADB050C" w14:textId="77777777" w:rsidR="00865C74" w:rsidRPr="008C7B1B" w:rsidRDefault="00865C74" w:rsidP="00865C74">
      <w:pPr>
        <w:jc w:val="both"/>
        <w:rPr>
          <w:rFonts w:ascii="Calibri" w:hAnsi="Calibri" w:cs="Calibri"/>
        </w:rPr>
      </w:pPr>
      <w:r w:rsidRPr="008C7B1B">
        <w:rPr>
          <w:rFonts w:ascii="Calibri" w:hAnsi="Calibri" w:cs="Calibri"/>
        </w:rPr>
        <w:t xml:space="preserve">Níže uvedená tabulka zobrazuje 5 okresů s nejvyšším procentem žáků s nedostačujícími znalostmi v českém jazyce v 5. ročníku. Hodnocení je za školní rok 2021/2022. Hodnoceno na úrovni okresů. Žáci v nedostačující úrovni výsledků – chybné </w:t>
      </w:r>
      <w:proofErr w:type="gramStart"/>
      <w:r w:rsidRPr="008C7B1B">
        <w:rPr>
          <w:rFonts w:ascii="Calibri" w:hAnsi="Calibri" w:cs="Calibri"/>
        </w:rPr>
        <w:t>řeší</w:t>
      </w:r>
      <w:proofErr w:type="gramEnd"/>
      <w:r w:rsidRPr="008C7B1B">
        <w:rPr>
          <w:rFonts w:ascii="Calibri" w:hAnsi="Calibri" w:cs="Calibri"/>
        </w:rPr>
        <w:t xml:space="preserve"> i v nejjednodušší úlohy.</w:t>
      </w:r>
    </w:p>
    <w:p w14:paraId="4F5D8283" w14:textId="77777777" w:rsidR="00865C74" w:rsidRPr="008C7B1B" w:rsidRDefault="00865C74" w:rsidP="00865C74">
      <w:pPr>
        <w:jc w:val="both"/>
        <w:rPr>
          <w:rFonts w:ascii="Calibri" w:hAnsi="Calibri" w:cs="Calibri"/>
        </w:rPr>
      </w:pPr>
    </w:p>
    <w:tbl>
      <w:tblPr>
        <w:tblStyle w:val="Mkatabulky"/>
        <w:tblW w:w="0" w:type="auto"/>
        <w:tblLook w:val="04A0" w:firstRow="1" w:lastRow="0" w:firstColumn="1" w:lastColumn="0" w:noHBand="0" w:noVBand="1"/>
      </w:tblPr>
      <w:tblGrid>
        <w:gridCol w:w="4531"/>
        <w:gridCol w:w="4531"/>
      </w:tblGrid>
      <w:tr w:rsidR="00865C74" w:rsidRPr="008C7B1B" w14:paraId="7D2CB636" w14:textId="77777777" w:rsidTr="00186923">
        <w:tc>
          <w:tcPr>
            <w:tcW w:w="4531" w:type="dxa"/>
            <w:shd w:val="clear" w:color="auto" w:fill="323E4F" w:themeFill="text2" w:themeFillShade="BF"/>
          </w:tcPr>
          <w:p w14:paraId="5164BDAC"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Okresy</w:t>
            </w:r>
          </w:p>
        </w:tc>
        <w:tc>
          <w:tcPr>
            <w:tcW w:w="4531" w:type="dxa"/>
            <w:shd w:val="clear" w:color="auto" w:fill="323E4F" w:themeFill="text2" w:themeFillShade="BF"/>
          </w:tcPr>
          <w:p w14:paraId="20CD4069"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Nedostačující znalosti – podíl žáků v %</w:t>
            </w:r>
          </w:p>
        </w:tc>
      </w:tr>
      <w:tr w:rsidR="00865C74" w:rsidRPr="008C7B1B" w14:paraId="078F334B" w14:textId="77777777" w:rsidTr="00186923">
        <w:tc>
          <w:tcPr>
            <w:tcW w:w="4531" w:type="dxa"/>
          </w:tcPr>
          <w:p w14:paraId="37572D0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Louny</w:t>
            </w:r>
          </w:p>
        </w:tc>
        <w:tc>
          <w:tcPr>
            <w:tcW w:w="4531" w:type="dxa"/>
          </w:tcPr>
          <w:p w14:paraId="26683A3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36,56 %</w:t>
            </w:r>
          </w:p>
        </w:tc>
      </w:tr>
      <w:tr w:rsidR="00865C74" w:rsidRPr="008C7B1B" w14:paraId="01E01B1B" w14:textId="77777777" w:rsidTr="00186923">
        <w:tc>
          <w:tcPr>
            <w:tcW w:w="4531" w:type="dxa"/>
          </w:tcPr>
          <w:p w14:paraId="1BAF84C3"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Most</w:t>
            </w:r>
          </w:p>
        </w:tc>
        <w:tc>
          <w:tcPr>
            <w:tcW w:w="4531" w:type="dxa"/>
          </w:tcPr>
          <w:p w14:paraId="3784EF61"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34,95 %</w:t>
            </w:r>
          </w:p>
        </w:tc>
      </w:tr>
      <w:tr w:rsidR="00865C74" w:rsidRPr="008C7B1B" w14:paraId="68F937FF" w14:textId="77777777" w:rsidTr="00186923">
        <w:tc>
          <w:tcPr>
            <w:tcW w:w="4531" w:type="dxa"/>
          </w:tcPr>
          <w:p w14:paraId="0D7C9D80"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Sokolov</w:t>
            </w:r>
          </w:p>
        </w:tc>
        <w:tc>
          <w:tcPr>
            <w:tcW w:w="4531" w:type="dxa"/>
          </w:tcPr>
          <w:p w14:paraId="00B2DDF2"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33,15 %</w:t>
            </w:r>
          </w:p>
        </w:tc>
      </w:tr>
      <w:tr w:rsidR="00865C74" w:rsidRPr="008C7B1B" w14:paraId="701A530E" w14:textId="77777777" w:rsidTr="00186923">
        <w:tc>
          <w:tcPr>
            <w:tcW w:w="4531" w:type="dxa"/>
          </w:tcPr>
          <w:p w14:paraId="3BE61C7C"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Děčín</w:t>
            </w:r>
          </w:p>
        </w:tc>
        <w:tc>
          <w:tcPr>
            <w:tcW w:w="4531" w:type="dxa"/>
          </w:tcPr>
          <w:p w14:paraId="05DFA71A"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29,35 %</w:t>
            </w:r>
          </w:p>
        </w:tc>
      </w:tr>
      <w:tr w:rsidR="00865C74" w:rsidRPr="008C7B1B" w14:paraId="317C382B" w14:textId="77777777" w:rsidTr="00186923">
        <w:tc>
          <w:tcPr>
            <w:tcW w:w="4531" w:type="dxa"/>
          </w:tcPr>
          <w:p w14:paraId="3CF12C48"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Ostrava-město</w:t>
            </w:r>
          </w:p>
        </w:tc>
        <w:tc>
          <w:tcPr>
            <w:tcW w:w="4531" w:type="dxa"/>
          </w:tcPr>
          <w:p w14:paraId="0B3CAB17" w14:textId="77777777" w:rsidR="00865C74" w:rsidRPr="008C7B1B" w:rsidRDefault="00865C74" w:rsidP="00186923">
            <w:pPr>
              <w:keepNext/>
              <w:jc w:val="both"/>
              <w:rPr>
                <w:rFonts w:ascii="Calibri" w:hAnsi="Calibri" w:cs="Calibri"/>
                <w:sz w:val="22"/>
                <w:szCs w:val="22"/>
              </w:rPr>
            </w:pPr>
            <w:r w:rsidRPr="008C7B1B">
              <w:rPr>
                <w:rFonts w:ascii="Calibri" w:hAnsi="Calibri" w:cs="Calibri"/>
                <w:sz w:val="22"/>
                <w:szCs w:val="22"/>
              </w:rPr>
              <w:t>28,99 %</w:t>
            </w:r>
          </w:p>
        </w:tc>
      </w:tr>
    </w:tbl>
    <w:p w14:paraId="0583A6E9" w14:textId="77777777" w:rsidR="00865C74" w:rsidRDefault="00865C74" w:rsidP="00865C74">
      <w:pPr>
        <w:jc w:val="both"/>
        <w:rPr>
          <w:rFonts w:ascii="Calibri" w:hAnsi="Calibri" w:cs="Calibri"/>
        </w:rPr>
      </w:pPr>
    </w:p>
    <w:p w14:paraId="26A6F198" w14:textId="77777777" w:rsidR="00865C74" w:rsidRPr="008C7B1B" w:rsidRDefault="00865C74" w:rsidP="00865C74">
      <w:pPr>
        <w:jc w:val="both"/>
        <w:rPr>
          <w:rFonts w:ascii="Calibri" w:hAnsi="Calibri" w:cs="Calibri"/>
        </w:rPr>
      </w:pPr>
      <w:r w:rsidRPr="008C7B1B">
        <w:rPr>
          <w:rFonts w:ascii="Calibri" w:hAnsi="Calibri" w:cs="Calibri"/>
        </w:rPr>
        <w:t xml:space="preserve">Níže uvedená tabulka zobrazuje 5 okresů s nejvyšším procentem žáků s nedostačujícími znalostmi v českém jazyce v 9. ročníku. Hodnocení je za školní rok 2021/2022. Žáci v nedostačující úrovni výsledků – chybné </w:t>
      </w:r>
      <w:proofErr w:type="gramStart"/>
      <w:r w:rsidRPr="008C7B1B">
        <w:rPr>
          <w:rFonts w:ascii="Calibri" w:hAnsi="Calibri" w:cs="Calibri"/>
        </w:rPr>
        <w:t>řeší</w:t>
      </w:r>
      <w:proofErr w:type="gramEnd"/>
      <w:r w:rsidRPr="008C7B1B">
        <w:rPr>
          <w:rFonts w:ascii="Calibri" w:hAnsi="Calibri" w:cs="Calibri"/>
        </w:rPr>
        <w:t xml:space="preserve"> i v nejjednodušší úlohy. Hodnoceno na úrovni okresů. Okres Louny se nachází na 15. místě s 34,50 % (počítáno od nejhorších výsledků).</w:t>
      </w:r>
    </w:p>
    <w:tbl>
      <w:tblPr>
        <w:tblStyle w:val="Mkatabulky"/>
        <w:tblW w:w="0" w:type="auto"/>
        <w:tblLook w:val="04A0" w:firstRow="1" w:lastRow="0" w:firstColumn="1" w:lastColumn="0" w:noHBand="0" w:noVBand="1"/>
      </w:tblPr>
      <w:tblGrid>
        <w:gridCol w:w="4531"/>
        <w:gridCol w:w="4531"/>
      </w:tblGrid>
      <w:tr w:rsidR="00865C74" w:rsidRPr="008C7B1B" w14:paraId="0237EF29" w14:textId="77777777" w:rsidTr="00186923">
        <w:tc>
          <w:tcPr>
            <w:tcW w:w="4531" w:type="dxa"/>
            <w:shd w:val="clear" w:color="auto" w:fill="323E4F" w:themeFill="text2" w:themeFillShade="BF"/>
          </w:tcPr>
          <w:p w14:paraId="6D8F097E"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Okresy</w:t>
            </w:r>
          </w:p>
        </w:tc>
        <w:tc>
          <w:tcPr>
            <w:tcW w:w="4531" w:type="dxa"/>
            <w:shd w:val="clear" w:color="auto" w:fill="323E4F" w:themeFill="text2" w:themeFillShade="BF"/>
          </w:tcPr>
          <w:p w14:paraId="236C063C"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Nedostačující znalosti – podíl žáků v %</w:t>
            </w:r>
          </w:p>
        </w:tc>
      </w:tr>
      <w:tr w:rsidR="00865C74" w:rsidRPr="008C7B1B" w14:paraId="1197C9F6" w14:textId="77777777" w:rsidTr="00186923">
        <w:tc>
          <w:tcPr>
            <w:tcW w:w="4531" w:type="dxa"/>
          </w:tcPr>
          <w:p w14:paraId="36DEB6AF"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Teplice</w:t>
            </w:r>
          </w:p>
        </w:tc>
        <w:tc>
          <w:tcPr>
            <w:tcW w:w="4531" w:type="dxa"/>
          </w:tcPr>
          <w:p w14:paraId="191339A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48,99 %</w:t>
            </w:r>
          </w:p>
        </w:tc>
      </w:tr>
      <w:tr w:rsidR="00865C74" w:rsidRPr="008C7B1B" w14:paraId="71C20513" w14:textId="77777777" w:rsidTr="00186923">
        <w:tc>
          <w:tcPr>
            <w:tcW w:w="4531" w:type="dxa"/>
          </w:tcPr>
          <w:p w14:paraId="072B9360"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Bruntál</w:t>
            </w:r>
          </w:p>
        </w:tc>
        <w:tc>
          <w:tcPr>
            <w:tcW w:w="4531" w:type="dxa"/>
          </w:tcPr>
          <w:p w14:paraId="2DC1756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43,94 %</w:t>
            </w:r>
          </w:p>
        </w:tc>
      </w:tr>
      <w:tr w:rsidR="00865C74" w:rsidRPr="008C7B1B" w14:paraId="5E648DEE" w14:textId="77777777" w:rsidTr="00186923">
        <w:tc>
          <w:tcPr>
            <w:tcW w:w="4531" w:type="dxa"/>
          </w:tcPr>
          <w:p w14:paraId="3B499221"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Ústí nad Labem</w:t>
            </w:r>
          </w:p>
        </w:tc>
        <w:tc>
          <w:tcPr>
            <w:tcW w:w="4531" w:type="dxa"/>
          </w:tcPr>
          <w:p w14:paraId="1077C8F1"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43,78 %</w:t>
            </w:r>
          </w:p>
        </w:tc>
      </w:tr>
      <w:tr w:rsidR="00865C74" w:rsidRPr="008C7B1B" w14:paraId="59A1794F" w14:textId="77777777" w:rsidTr="00186923">
        <w:tc>
          <w:tcPr>
            <w:tcW w:w="4531" w:type="dxa"/>
          </w:tcPr>
          <w:p w14:paraId="52A5CF22"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Litoměřice</w:t>
            </w:r>
          </w:p>
        </w:tc>
        <w:tc>
          <w:tcPr>
            <w:tcW w:w="4531" w:type="dxa"/>
          </w:tcPr>
          <w:p w14:paraId="3E0825D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40,50 %</w:t>
            </w:r>
          </w:p>
        </w:tc>
      </w:tr>
      <w:tr w:rsidR="00865C74" w:rsidRPr="008C7B1B" w14:paraId="1E38F506" w14:textId="77777777" w:rsidTr="00186923">
        <w:tc>
          <w:tcPr>
            <w:tcW w:w="4531" w:type="dxa"/>
          </w:tcPr>
          <w:p w14:paraId="22B7A65D"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Děčín</w:t>
            </w:r>
          </w:p>
        </w:tc>
        <w:tc>
          <w:tcPr>
            <w:tcW w:w="4531" w:type="dxa"/>
          </w:tcPr>
          <w:p w14:paraId="7A760F61" w14:textId="77777777" w:rsidR="00865C74" w:rsidRPr="008C7B1B" w:rsidRDefault="00865C74" w:rsidP="00186923">
            <w:pPr>
              <w:keepNext/>
              <w:jc w:val="both"/>
              <w:rPr>
                <w:rFonts w:ascii="Calibri" w:hAnsi="Calibri" w:cs="Calibri"/>
                <w:sz w:val="22"/>
                <w:szCs w:val="22"/>
              </w:rPr>
            </w:pPr>
            <w:r w:rsidRPr="008C7B1B">
              <w:rPr>
                <w:rFonts w:ascii="Calibri" w:hAnsi="Calibri" w:cs="Calibri"/>
                <w:sz w:val="22"/>
                <w:szCs w:val="22"/>
              </w:rPr>
              <w:t>39,51 %</w:t>
            </w:r>
          </w:p>
        </w:tc>
      </w:tr>
    </w:tbl>
    <w:p w14:paraId="0A1CB988" w14:textId="77777777" w:rsidR="00865C74" w:rsidRPr="008C7B1B" w:rsidRDefault="00865C74" w:rsidP="00865C74">
      <w:pPr>
        <w:pStyle w:val="Titulek"/>
        <w:jc w:val="center"/>
        <w:rPr>
          <w:rFonts w:cs="Calibri"/>
          <w:sz w:val="22"/>
          <w:szCs w:val="22"/>
        </w:rPr>
      </w:pPr>
      <w:r w:rsidRPr="008C7B1B">
        <w:rPr>
          <w:rFonts w:cs="Calibri"/>
          <w:sz w:val="22"/>
          <w:szCs w:val="22"/>
        </w:rPr>
        <w:t xml:space="preserve">Tabulka </w:t>
      </w:r>
      <w:r w:rsidRPr="008C7B1B">
        <w:rPr>
          <w:rFonts w:cs="Calibri"/>
          <w:sz w:val="22"/>
          <w:szCs w:val="22"/>
        </w:rPr>
        <w:fldChar w:fldCharType="begin"/>
      </w:r>
      <w:r w:rsidRPr="008C7B1B">
        <w:rPr>
          <w:rFonts w:cs="Calibri"/>
          <w:sz w:val="22"/>
          <w:szCs w:val="22"/>
        </w:rPr>
        <w:instrText xml:space="preserve"> SEQ Tabulka \* ARABIC </w:instrText>
      </w:r>
      <w:r w:rsidRPr="008C7B1B">
        <w:rPr>
          <w:rFonts w:cs="Calibri"/>
          <w:sz w:val="22"/>
          <w:szCs w:val="22"/>
        </w:rPr>
        <w:fldChar w:fldCharType="separate"/>
      </w:r>
      <w:r w:rsidRPr="008C7B1B">
        <w:rPr>
          <w:rFonts w:cs="Calibri"/>
          <w:noProof/>
          <w:sz w:val="22"/>
          <w:szCs w:val="22"/>
        </w:rPr>
        <w:t>40</w:t>
      </w:r>
      <w:r w:rsidRPr="008C7B1B">
        <w:rPr>
          <w:rFonts w:cs="Calibri"/>
          <w:sz w:val="22"/>
          <w:szCs w:val="22"/>
        </w:rPr>
        <w:fldChar w:fldCharType="end"/>
      </w:r>
      <w:r w:rsidRPr="008C7B1B">
        <w:rPr>
          <w:rFonts w:cs="Calibri"/>
          <w:sz w:val="22"/>
          <w:szCs w:val="22"/>
        </w:rPr>
        <w:t>: Šetření z českého jazyka základních škol 9. ročník</w:t>
      </w:r>
    </w:p>
    <w:p w14:paraId="0B063B6D" w14:textId="77777777" w:rsidR="00865C74" w:rsidRDefault="00865C74" w:rsidP="00865C74">
      <w:pPr>
        <w:pStyle w:val="Nadpis4"/>
        <w:keepLines w:val="0"/>
        <w:widowControl w:val="0"/>
        <w:numPr>
          <w:ilvl w:val="3"/>
          <w:numId w:val="0"/>
        </w:numPr>
        <w:spacing w:before="240" w:after="60" w:line="288" w:lineRule="auto"/>
        <w:rPr>
          <w:rFonts w:ascii="Calibri" w:hAnsi="Calibri" w:cs="Calibri"/>
          <w:b/>
          <w:bCs/>
          <w:i w:val="0"/>
          <w:iCs w:val="0"/>
          <w:color w:val="323E4F" w:themeColor="text2" w:themeShade="BF"/>
        </w:rPr>
      </w:pPr>
    </w:p>
    <w:p w14:paraId="09226DBD" w14:textId="77777777" w:rsidR="00865C74" w:rsidRPr="00F16AB3"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r w:rsidRPr="00F16AB3">
        <w:rPr>
          <w:rFonts w:ascii="Calibri" w:hAnsi="Calibri" w:cs="Calibri"/>
          <w:b/>
          <w:bCs/>
          <w:i w:val="0"/>
          <w:iCs w:val="0"/>
          <w:color w:val="323E4F" w:themeColor="text2" w:themeShade="BF"/>
        </w:rPr>
        <w:t>Šetření z matematiky základních škol</w:t>
      </w:r>
    </w:p>
    <w:p w14:paraId="08D8946D" w14:textId="77777777" w:rsidR="00865C74" w:rsidRPr="008C7B1B" w:rsidRDefault="00865C74" w:rsidP="00865C74">
      <w:pPr>
        <w:rPr>
          <w:rFonts w:ascii="Calibri" w:hAnsi="Calibri" w:cs="Calibri"/>
        </w:rPr>
      </w:pPr>
      <w:r w:rsidRPr="008C7B1B">
        <w:rPr>
          <w:rFonts w:ascii="Calibri" w:hAnsi="Calibri" w:cs="Calibri"/>
        </w:rPr>
        <w:t>Šetření z matematiky pro 5. ročník základních škol zjišťovalo dosažené výsledky žáků v oblastech počítání s čísly, geometrie a slovní úlohy.</w:t>
      </w:r>
    </w:p>
    <w:p w14:paraId="77C2C5E1" w14:textId="77777777" w:rsidR="00865C74" w:rsidRPr="008C7B1B" w:rsidRDefault="00865C74" w:rsidP="00865C74">
      <w:pPr>
        <w:jc w:val="both"/>
        <w:rPr>
          <w:rFonts w:ascii="Calibri" w:hAnsi="Calibri" w:cs="Calibri"/>
        </w:rPr>
      </w:pPr>
      <w:r w:rsidRPr="008C7B1B">
        <w:rPr>
          <w:rFonts w:ascii="Calibri" w:hAnsi="Calibri" w:cs="Calibri"/>
        </w:rPr>
        <w:t xml:space="preserve">Níže uvedená tabulka zobrazuje 5 okresů s nejvyšším procentem žáků s nedostačujícími znalostmi v matematice v 5. ročníku. Hodnocení je za školní rok 2021/2022. Hodnoceno na úrovni okresů. Žáci v nedostačující úrovni výsledků – chybné </w:t>
      </w:r>
      <w:proofErr w:type="gramStart"/>
      <w:r w:rsidRPr="008C7B1B">
        <w:rPr>
          <w:rFonts w:ascii="Calibri" w:hAnsi="Calibri" w:cs="Calibri"/>
        </w:rPr>
        <w:t>řeší</w:t>
      </w:r>
      <w:proofErr w:type="gramEnd"/>
      <w:r w:rsidRPr="008C7B1B">
        <w:rPr>
          <w:rFonts w:ascii="Calibri" w:hAnsi="Calibri" w:cs="Calibri"/>
        </w:rPr>
        <w:t xml:space="preserve"> i v nejjednodušší úlohy.</w:t>
      </w:r>
    </w:p>
    <w:p w14:paraId="062E2FFE" w14:textId="77777777" w:rsidR="00865C74" w:rsidRPr="008C7B1B" w:rsidRDefault="00865C74" w:rsidP="00865C74">
      <w:pPr>
        <w:jc w:val="both"/>
        <w:rPr>
          <w:rFonts w:ascii="Calibri" w:hAnsi="Calibri" w:cs="Calibri"/>
        </w:rPr>
      </w:pPr>
    </w:p>
    <w:tbl>
      <w:tblPr>
        <w:tblStyle w:val="Mkatabulky"/>
        <w:tblW w:w="0" w:type="auto"/>
        <w:tblLook w:val="04A0" w:firstRow="1" w:lastRow="0" w:firstColumn="1" w:lastColumn="0" w:noHBand="0" w:noVBand="1"/>
      </w:tblPr>
      <w:tblGrid>
        <w:gridCol w:w="4531"/>
        <w:gridCol w:w="4531"/>
      </w:tblGrid>
      <w:tr w:rsidR="00865C74" w:rsidRPr="008C7B1B" w14:paraId="1AFC7092" w14:textId="77777777" w:rsidTr="00186923">
        <w:tc>
          <w:tcPr>
            <w:tcW w:w="4531" w:type="dxa"/>
            <w:shd w:val="clear" w:color="auto" w:fill="323E4F" w:themeFill="text2" w:themeFillShade="BF"/>
          </w:tcPr>
          <w:p w14:paraId="34F3E270"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Okresy</w:t>
            </w:r>
          </w:p>
        </w:tc>
        <w:tc>
          <w:tcPr>
            <w:tcW w:w="4531" w:type="dxa"/>
            <w:shd w:val="clear" w:color="auto" w:fill="323E4F" w:themeFill="text2" w:themeFillShade="BF"/>
          </w:tcPr>
          <w:p w14:paraId="0B42C140"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Nedostačující znalosti – podíl žáků v %</w:t>
            </w:r>
          </w:p>
        </w:tc>
      </w:tr>
      <w:tr w:rsidR="00865C74" w:rsidRPr="008C7B1B" w14:paraId="499F8A29" w14:textId="77777777" w:rsidTr="00186923">
        <w:tc>
          <w:tcPr>
            <w:tcW w:w="4531" w:type="dxa"/>
          </w:tcPr>
          <w:p w14:paraId="61774CFB"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Most</w:t>
            </w:r>
          </w:p>
        </w:tc>
        <w:tc>
          <w:tcPr>
            <w:tcW w:w="4531" w:type="dxa"/>
          </w:tcPr>
          <w:p w14:paraId="38D11F03"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46,43 %</w:t>
            </w:r>
          </w:p>
        </w:tc>
      </w:tr>
      <w:tr w:rsidR="00865C74" w:rsidRPr="008C7B1B" w14:paraId="39F2DBA3" w14:textId="77777777" w:rsidTr="00186923">
        <w:tc>
          <w:tcPr>
            <w:tcW w:w="4531" w:type="dxa"/>
          </w:tcPr>
          <w:p w14:paraId="08841918"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Louny</w:t>
            </w:r>
          </w:p>
        </w:tc>
        <w:tc>
          <w:tcPr>
            <w:tcW w:w="4531" w:type="dxa"/>
          </w:tcPr>
          <w:p w14:paraId="4EC36B2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45,75 %</w:t>
            </w:r>
          </w:p>
        </w:tc>
      </w:tr>
      <w:tr w:rsidR="00865C74" w:rsidRPr="008C7B1B" w14:paraId="6AC1AA98" w14:textId="77777777" w:rsidTr="00186923">
        <w:tc>
          <w:tcPr>
            <w:tcW w:w="4531" w:type="dxa"/>
          </w:tcPr>
          <w:p w14:paraId="34E0CA97"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Děčín</w:t>
            </w:r>
          </w:p>
        </w:tc>
        <w:tc>
          <w:tcPr>
            <w:tcW w:w="4531" w:type="dxa"/>
          </w:tcPr>
          <w:p w14:paraId="2EC8DC8C"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42,48 %</w:t>
            </w:r>
          </w:p>
        </w:tc>
      </w:tr>
      <w:tr w:rsidR="00865C74" w:rsidRPr="008C7B1B" w14:paraId="351A6B48" w14:textId="77777777" w:rsidTr="00186923">
        <w:tc>
          <w:tcPr>
            <w:tcW w:w="4531" w:type="dxa"/>
          </w:tcPr>
          <w:p w14:paraId="22BA6ADA"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Sokolov</w:t>
            </w:r>
          </w:p>
        </w:tc>
        <w:tc>
          <w:tcPr>
            <w:tcW w:w="4531" w:type="dxa"/>
          </w:tcPr>
          <w:p w14:paraId="64A1FAAB"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41,34 %</w:t>
            </w:r>
          </w:p>
        </w:tc>
      </w:tr>
      <w:tr w:rsidR="00865C74" w:rsidRPr="008C7B1B" w14:paraId="7165DC29" w14:textId="77777777" w:rsidTr="00186923">
        <w:tc>
          <w:tcPr>
            <w:tcW w:w="4531" w:type="dxa"/>
          </w:tcPr>
          <w:p w14:paraId="519277FB"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Chomutov</w:t>
            </w:r>
          </w:p>
        </w:tc>
        <w:tc>
          <w:tcPr>
            <w:tcW w:w="4531" w:type="dxa"/>
          </w:tcPr>
          <w:p w14:paraId="7B11B551" w14:textId="77777777" w:rsidR="00865C74" w:rsidRPr="008C7B1B" w:rsidRDefault="00865C74" w:rsidP="00186923">
            <w:pPr>
              <w:keepNext/>
              <w:jc w:val="both"/>
              <w:rPr>
                <w:rFonts w:ascii="Calibri" w:hAnsi="Calibri" w:cs="Calibri"/>
                <w:sz w:val="22"/>
                <w:szCs w:val="22"/>
              </w:rPr>
            </w:pPr>
            <w:r w:rsidRPr="008C7B1B">
              <w:rPr>
                <w:rFonts w:ascii="Calibri" w:hAnsi="Calibri" w:cs="Calibri"/>
                <w:sz w:val="22"/>
                <w:szCs w:val="22"/>
              </w:rPr>
              <w:t>37,31 %</w:t>
            </w:r>
          </w:p>
        </w:tc>
      </w:tr>
    </w:tbl>
    <w:p w14:paraId="6BBBF4EC" w14:textId="77777777" w:rsidR="00865C74" w:rsidRPr="008C7B1B" w:rsidRDefault="00865C74" w:rsidP="00865C74">
      <w:pPr>
        <w:rPr>
          <w:rFonts w:ascii="Calibri" w:hAnsi="Calibri" w:cs="Calibri"/>
        </w:rPr>
      </w:pPr>
    </w:p>
    <w:p w14:paraId="24AFEE75" w14:textId="77777777" w:rsidR="00865C74" w:rsidRPr="008C7B1B" w:rsidRDefault="00865C74" w:rsidP="00865C74">
      <w:pPr>
        <w:jc w:val="both"/>
        <w:rPr>
          <w:rFonts w:ascii="Calibri" w:hAnsi="Calibri" w:cs="Calibri"/>
        </w:rPr>
      </w:pPr>
      <w:r w:rsidRPr="008C7B1B">
        <w:rPr>
          <w:rFonts w:ascii="Calibri" w:hAnsi="Calibri" w:cs="Calibri"/>
        </w:rPr>
        <w:t xml:space="preserve">Níže uvedená tabulka zobrazuje 5 okresů s nejvyšším procentem žáků s nedostačujícími znalostmi v matematice v 9. ročníku. Hodnocení je za školní rok 2021/2022. Hodnoceno na úrovni okresů. Žáci v nedostačující úrovni výsledků – chybné </w:t>
      </w:r>
      <w:proofErr w:type="gramStart"/>
      <w:r w:rsidRPr="008C7B1B">
        <w:rPr>
          <w:rFonts w:ascii="Calibri" w:hAnsi="Calibri" w:cs="Calibri"/>
        </w:rPr>
        <w:t>řeší</w:t>
      </w:r>
      <w:proofErr w:type="gramEnd"/>
      <w:r w:rsidRPr="008C7B1B">
        <w:rPr>
          <w:rFonts w:ascii="Calibri" w:hAnsi="Calibri" w:cs="Calibri"/>
        </w:rPr>
        <w:t xml:space="preserve"> i v nejjednodušší úlohy. Okres Louny se nachází na 15. místě s 27,83 % (počítáno od nejhorších výsledků).</w:t>
      </w:r>
    </w:p>
    <w:tbl>
      <w:tblPr>
        <w:tblStyle w:val="Mkatabulky"/>
        <w:tblW w:w="0" w:type="auto"/>
        <w:tblLook w:val="04A0" w:firstRow="1" w:lastRow="0" w:firstColumn="1" w:lastColumn="0" w:noHBand="0" w:noVBand="1"/>
      </w:tblPr>
      <w:tblGrid>
        <w:gridCol w:w="4531"/>
        <w:gridCol w:w="4531"/>
      </w:tblGrid>
      <w:tr w:rsidR="00865C74" w:rsidRPr="008C7B1B" w14:paraId="7CB5BA75" w14:textId="77777777" w:rsidTr="00186923">
        <w:tc>
          <w:tcPr>
            <w:tcW w:w="4531" w:type="dxa"/>
            <w:shd w:val="clear" w:color="auto" w:fill="323E4F" w:themeFill="text2" w:themeFillShade="BF"/>
          </w:tcPr>
          <w:p w14:paraId="0C5BC790"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Okresy</w:t>
            </w:r>
          </w:p>
        </w:tc>
        <w:tc>
          <w:tcPr>
            <w:tcW w:w="4531" w:type="dxa"/>
            <w:shd w:val="clear" w:color="auto" w:fill="323E4F" w:themeFill="text2" w:themeFillShade="BF"/>
          </w:tcPr>
          <w:p w14:paraId="3803969C"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Nedostačující znalosti – podíl žáků v %</w:t>
            </w:r>
          </w:p>
        </w:tc>
      </w:tr>
      <w:tr w:rsidR="00865C74" w:rsidRPr="008C7B1B" w14:paraId="4B99536E" w14:textId="77777777" w:rsidTr="00186923">
        <w:tc>
          <w:tcPr>
            <w:tcW w:w="4531" w:type="dxa"/>
          </w:tcPr>
          <w:p w14:paraId="62BF07E6"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Sokolov</w:t>
            </w:r>
          </w:p>
        </w:tc>
        <w:tc>
          <w:tcPr>
            <w:tcW w:w="4531" w:type="dxa"/>
          </w:tcPr>
          <w:p w14:paraId="559EE3E3"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42,49 %</w:t>
            </w:r>
          </w:p>
        </w:tc>
      </w:tr>
      <w:tr w:rsidR="00865C74" w:rsidRPr="008C7B1B" w14:paraId="3FA7010E" w14:textId="77777777" w:rsidTr="00186923">
        <w:tc>
          <w:tcPr>
            <w:tcW w:w="4531" w:type="dxa"/>
          </w:tcPr>
          <w:p w14:paraId="5422863D"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Teplice</w:t>
            </w:r>
          </w:p>
        </w:tc>
        <w:tc>
          <w:tcPr>
            <w:tcW w:w="4531" w:type="dxa"/>
          </w:tcPr>
          <w:p w14:paraId="4B84C5D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42,20 %</w:t>
            </w:r>
          </w:p>
        </w:tc>
      </w:tr>
      <w:tr w:rsidR="00865C74" w:rsidRPr="008C7B1B" w14:paraId="179AF901" w14:textId="77777777" w:rsidTr="00186923">
        <w:tc>
          <w:tcPr>
            <w:tcW w:w="4531" w:type="dxa"/>
          </w:tcPr>
          <w:p w14:paraId="04E04D28"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Chomutov</w:t>
            </w:r>
          </w:p>
        </w:tc>
        <w:tc>
          <w:tcPr>
            <w:tcW w:w="4531" w:type="dxa"/>
          </w:tcPr>
          <w:p w14:paraId="2BFCAD8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39,41 %</w:t>
            </w:r>
          </w:p>
        </w:tc>
      </w:tr>
      <w:tr w:rsidR="00865C74" w:rsidRPr="008C7B1B" w14:paraId="250653E1" w14:textId="77777777" w:rsidTr="00186923">
        <w:tc>
          <w:tcPr>
            <w:tcW w:w="4531" w:type="dxa"/>
          </w:tcPr>
          <w:p w14:paraId="2F4F5BBA"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Ústí nad Labem</w:t>
            </w:r>
          </w:p>
        </w:tc>
        <w:tc>
          <w:tcPr>
            <w:tcW w:w="4531" w:type="dxa"/>
          </w:tcPr>
          <w:p w14:paraId="127EC98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38,48 %</w:t>
            </w:r>
          </w:p>
        </w:tc>
      </w:tr>
      <w:tr w:rsidR="00865C74" w:rsidRPr="008C7B1B" w14:paraId="3984CA08" w14:textId="77777777" w:rsidTr="00186923">
        <w:tc>
          <w:tcPr>
            <w:tcW w:w="4531" w:type="dxa"/>
          </w:tcPr>
          <w:p w14:paraId="7ECCA0AC"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Tachov</w:t>
            </w:r>
          </w:p>
        </w:tc>
        <w:tc>
          <w:tcPr>
            <w:tcW w:w="4531" w:type="dxa"/>
          </w:tcPr>
          <w:p w14:paraId="0B3CE0B2" w14:textId="77777777" w:rsidR="00865C74" w:rsidRPr="008C7B1B" w:rsidRDefault="00865C74" w:rsidP="00186923">
            <w:pPr>
              <w:keepNext/>
              <w:jc w:val="both"/>
              <w:rPr>
                <w:rFonts w:ascii="Calibri" w:hAnsi="Calibri" w:cs="Calibri"/>
                <w:sz w:val="22"/>
                <w:szCs w:val="22"/>
              </w:rPr>
            </w:pPr>
            <w:r w:rsidRPr="008C7B1B">
              <w:rPr>
                <w:rFonts w:ascii="Calibri" w:hAnsi="Calibri" w:cs="Calibri"/>
                <w:sz w:val="22"/>
                <w:szCs w:val="22"/>
              </w:rPr>
              <w:t>38,18 %</w:t>
            </w:r>
          </w:p>
        </w:tc>
      </w:tr>
    </w:tbl>
    <w:p w14:paraId="364765AE" w14:textId="77777777" w:rsidR="00865C74" w:rsidRPr="008C7B1B" w:rsidRDefault="00865C74" w:rsidP="00865C74">
      <w:pPr>
        <w:rPr>
          <w:rFonts w:ascii="Calibri" w:hAnsi="Calibri" w:cs="Calibri"/>
        </w:rPr>
      </w:pPr>
    </w:p>
    <w:p w14:paraId="6C1496B4" w14:textId="77777777" w:rsidR="00865C74" w:rsidRPr="00F16AB3"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r w:rsidRPr="00F16AB3">
        <w:rPr>
          <w:rFonts w:ascii="Calibri" w:hAnsi="Calibri" w:cs="Calibri"/>
          <w:b/>
          <w:bCs/>
          <w:i w:val="0"/>
          <w:iCs w:val="0"/>
          <w:color w:val="323E4F" w:themeColor="text2" w:themeShade="BF"/>
        </w:rPr>
        <w:t>Index rizikového chování ZV</w:t>
      </w:r>
    </w:p>
    <w:p w14:paraId="6CE67711" w14:textId="77777777" w:rsidR="00865C74" w:rsidRPr="008C7B1B" w:rsidRDefault="00865C74" w:rsidP="00865C74">
      <w:pPr>
        <w:jc w:val="both"/>
        <w:rPr>
          <w:rFonts w:ascii="Calibri" w:hAnsi="Calibri" w:cs="Calibri"/>
        </w:rPr>
      </w:pPr>
      <w:r w:rsidRPr="008C7B1B">
        <w:rPr>
          <w:rFonts w:ascii="Calibri" w:hAnsi="Calibri" w:cs="Calibri"/>
        </w:rPr>
        <w:t>Průměrné hodnoty indexu rizikového chování v základním vzdělávání, který zahrnuje tři dílčí proměnné:</w:t>
      </w:r>
    </w:p>
    <w:p w14:paraId="6072B4CB" w14:textId="77777777" w:rsidR="00865C74" w:rsidRPr="008C7B1B" w:rsidRDefault="00865C74" w:rsidP="00865C74">
      <w:pPr>
        <w:pStyle w:val="Odstavecseseznamem"/>
        <w:widowControl w:val="0"/>
        <w:numPr>
          <w:ilvl w:val="0"/>
          <w:numId w:val="1"/>
        </w:numPr>
        <w:spacing w:after="0" w:line="288" w:lineRule="auto"/>
        <w:jc w:val="both"/>
        <w:rPr>
          <w:rFonts w:ascii="Calibri" w:hAnsi="Calibri" w:cs="Calibri"/>
        </w:rPr>
      </w:pPr>
      <w:r w:rsidRPr="008C7B1B">
        <w:rPr>
          <w:rFonts w:ascii="Calibri" w:hAnsi="Calibri" w:cs="Calibri"/>
        </w:rPr>
        <w:lastRenderedPageBreak/>
        <w:t>podíl neprospívajících žáků;</w:t>
      </w:r>
    </w:p>
    <w:p w14:paraId="2B8EC60F" w14:textId="77777777" w:rsidR="00865C74" w:rsidRPr="008C7B1B" w:rsidRDefault="00865C74" w:rsidP="00865C74">
      <w:pPr>
        <w:pStyle w:val="Odstavecseseznamem"/>
        <w:widowControl w:val="0"/>
        <w:numPr>
          <w:ilvl w:val="0"/>
          <w:numId w:val="1"/>
        </w:numPr>
        <w:spacing w:after="0" w:line="288" w:lineRule="auto"/>
        <w:jc w:val="both"/>
        <w:rPr>
          <w:rFonts w:ascii="Calibri" w:hAnsi="Calibri" w:cs="Calibri"/>
        </w:rPr>
      </w:pPr>
      <w:r w:rsidRPr="008C7B1B">
        <w:rPr>
          <w:rFonts w:ascii="Calibri" w:hAnsi="Calibri" w:cs="Calibri"/>
        </w:rPr>
        <w:t>podíl žáků se sníženou známkou z chování;</w:t>
      </w:r>
    </w:p>
    <w:p w14:paraId="1F510006" w14:textId="77777777" w:rsidR="00865C74" w:rsidRPr="008C7B1B" w:rsidRDefault="00865C74" w:rsidP="00865C74">
      <w:pPr>
        <w:pStyle w:val="Odstavecseseznamem"/>
        <w:widowControl w:val="0"/>
        <w:numPr>
          <w:ilvl w:val="0"/>
          <w:numId w:val="1"/>
        </w:numPr>
        <w:spacing w:after="0" w:line="288" w:lineRule="auto"/>
        <w:jc w:val="both"/>
        <w:rPr>
          <w:rFonts w:ascii="Calibri" w:hAnsi="Calibri" w:cs="Calibri"/>
        </w:rPr>
      </w:pPr>
      <w:r w:rsidRPr="008C7B1B">
        <w:rPr>
          <w:rFonts w:ascii="Calibri" w:hAnsi="Calibri" w:cs="Calibri"/>
        </w:rPr>
        <w:t>počet neomluvených hodin na žáka.</w:t>
      </w:r>
    </w:p>
    <w:p w14:paraId="017AA01A" w14:textId="77777777" w:rsidR="00865C74" w:rsidRPr="008C7B1B" w:rsidRDefault="00865C74" w:rsidP="00865C74">
      <w:pPr>
        <w:jc w:val="both"/>
        <w:rPr>
          <w:rFonts w:ascii="Calibri" w:hAnsi="Calibri" w:cs="Calibri"/>
        </w:rPr>
      </w:pPr>
    </w:p>
    <w:p w14:paraId="585CC894" w14:textId="77777777" w:rsidR="00865C74" w:rsidRPr="008C7B1B" w:rsidRDefault="00865C74" w:rsidP="00865C74">
      <w:pPr>
        <w:jc w:val="both"/>
        <w:rPr>
          <w:rFonts w:ascii="Calibri" w:hAnsi="Calibri" w:cs="Calibri"/>
        </w:rPr>
      </w:pPr>
      <w:r w:rsidRPr="008C7B1B">
        <w:rPr>
          <w:rFonts w:ascii="Calibri" w:hAnsi="Calibri" w:cs="Calibri"/>
        </w:rPr>
        <w:t xml:space="preserve">Faktorovou analýzou bylo potvrzeno, že je možné tyto proměnné posuzovat jako jeden faktor. Vyšší hodnota indexu </w:t>
      </w:r>
      <w:proofErr w:type="gramStart"/>
      <w:r w:rsidRPr="008C7B1B">
        <w:rPr>
          <w:rFonts w:ascii="Calibri" w:hAnsi="Calibri" w:cs="Calibri"/>
        </w:rPr>
        <w:t>značí</w:t>
      </w:r>
      <w:proofErr w:type="gramEnd"/>
      <w:r w:rsidRPr="008C7B1B">
        <w:rPr>
          <w:rFonts w:ascii="Calibri" w:hAnsi="Calibri" w:cs="Calibri"/>
        </w:rPr>
        <w:t xml:space="preserve"> vyšší intenzitu těchto jevů (v základním vzdělávání), a tedy horší situaci.</w:t>
      </w:r>
    </w:p>
    <w:p w14:paraId="7A87CC60" w14:textId="77777777" w:rsidR="00865C74" w:rsidRPr="008C7B1B" w:rsidRDefault="00865C74" w:rsidP="00865C74">
      <w:pPr>
        <w:jc w:val="both"/>
        <w:rPr>
          <w:rFonts w:ascii="Calibri" w:hAnsi="Calibri" w:cs="Calibri"/>
        </w:rPr>
      </w:pPr>
    </w:p>
    <w:p w14:paraId="46B878C9" w14:textId="77777777" w:rsidR="00865C74" w:rsidRPr="008C7B1B" w:rsidRDefault="00865C74" w:rsidP="00865C74">
      <w:pPr>
        <w:jc w:val="both"/>
        <w:rPr>
          <w:rFonts w:ascii="Calibri" w:hAnsi="Calibri" w:cs="Calibri"/>
        </w:rPr>
      </w:pPr>
      <w:r w:rsidRPr="008C7B1B">
        <w:rPr>
          <w:rFonts w:ascii="Calibri" w:hAnsi="Calibri" w:cs="Calibri"/>
        </w:rPr>
        <w:t>Přestože index zachycuje rizikové chování žáků pouze částečně, poskytuje poměrně vhodný ukazatel pro identifikaci problémů konkrétních regionů (role indexu je však spíše indikativní). Například se ukazuje, že rizikové chování žáků, které je dáno zejména horším socioekonomickým rozvojem regionů, souvisí i se vztahy se zákonnými zástupci. Dle učitelského dotazníku (zadávaného při kontrolní inspekční činnosti) vnímají špatnou komunikaci a vztahy se zákonnými zástupci učitelé právě v těchto regionech. Podrobněji viz mapa Špatná komunikace a vztahy se zákonnými zástupci (učitelský dotazník).</w:t>
      </w:r>
    </w:p>
    <w:p w14:paraId="2DFE7EE1" w14:textId="77777777" w:rsidR="00865C74" w:rsidRPr="008C7B1B" w:rsidRDefault="00865C74" w:rsidP="00865C74">
      <w:pPr>
        <w:jc w:val="both"/>
        <w:rPr>
          <w:rFonts w:ascii="Calibri" w:hAnsi="Calibri" w:cs="Calibri"/>
        </w:rPr>
      </w:pPr>
    </w:p>
    <w:p w14:paraId="175638A2" w14:textId="77777777" w:rsidR="00865C74" w:rsidRPr="008C7B1B" w:rsidRDefault="00865C74" w:rsidP="00865C74">
      <w:pPr>
        <w:jc w:val="both"/>
        <w:rPr>
          <w:rFonts w:ascii="Calibri" w:hAnsi="Calibri" w:cs="Calibri"/>
        </w:rPr>
      </w:pPr>
      <w:r w:rsidRPr="008C7B1B">
        <w:rPr>
          <w:rFonts w:ascii="Calibri" w:hAnsi="Calibri" w:cs="Calibri"/>
        </w:rPr>
        <w:t>Níže uvedená tabulka zobrazuje 5 okresů s nejvyšším indexem rizikového chování ZV. Data za školní rok 2021/2022. Hodnoceno na úrovni okresů.</w:t>
      </w:r>
    </w:p>
    <w:p w14:paraId="61C76FD9" w14:textId="77777777" w:rsidR="00865C74" w:rsidRPr="008C7B1B" w:rsidRDefault="00865C74" w:rsidP="00865C74">
      <w:pPr>
        <w:jc w:val="both"/>
        <w:rPr>
          <w:rFonts w:ascii="Calibri" w:hAnsi="Calibri" w:cs="Calibri"/>
        </w:rPr>
      </w:pPr>
    </w:p>
    <w:tbl>
      <w:tblPr>
        <w:tblStyle w:val="Mkatabulky"/>
        <w:tblW w:w="0" w:type="auto"/>
        <w:tblLook w:val="04A0" w:firstRow="1" w:lastRow="0" w:firstColumn="1" w:lastColumn="0" w:noHBand="0" w:noVBand="1"/>
      </w:tblPr>
      <w:tblGrid>
        <w:gridCol w:w="4531"/>
        <w:gridCol w:w="4531"/>
      </w:tblGrid>
      <w:tr w:rsidR="00865C74" w:rsidRPr="008C7B1B" w14:paraId="5612E721" w14:textId="77777777" w:rsidTr="00186923">
        <w:tc>
          <w:tcPr>
            <w:tcW w:w="4531" w:type="dxa"/>
            <w:shd w:val="clear" w:color="auto" w:fill="323E4F" w:themeFill="text2" w:themeFillShade="BF"/>
          </w:tcPr>
          <w:p w14:paraId="3B1ABF3C"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Okresy</w:t>
            </w:r>
          </w:p>
        </w:tc>
        <w:tc>
          <w:tcPr>
            <w:tcW w:w="4531" w:type="dxa"/>
            <w:shd w:val="clear" w:color="auto" w:fill="323E4F" w:themeFill="text2" w:themeFillShade="BF"/>
          </w:tcPr>
          <w:p w14:paraId="0C272DC0"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Index rizikového chování ZV</w:t>
            </w:r>
          </w:p>
        </w:tc>
      </w:tr>
      <w:tr w:rsidR="00865C74" w:rsidRPr="008C7B1B" w14:paraId="4EC20F4E" w14:textId="77777777" w:rsidTr="00186923">
        <w:tc>
          <w:tcPr>
            <w:tcW w:w="4531" w:type="dxa"/>
          </w:tcPr>
          <w:p w14:paraId="2E39C8A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Most</w:t>
            </w:r>
          </w:p>
        </w:tc>
        <w:tc>
          <w:tcPr>
            <w:tcW w:w="4531" w:type="dxa"/>
          </w:tcPr>
          <w:p w14:paraId="79D3D5E8"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3,0</w:t>
            </w:r>
          </w:p>
        </w:tc>
      </w:tr>
      <w:tr w:rsidR="00865C74" w:rsidRPr="008C7B1B" w14:paraId="607E84E4" w14:textId="77777777" w:rsidTr="00186923">
        <w:tc>
          <w:tcPr>
            <w:tcW w:w="4531" w:type="dxa"/>
          </w:tcPr>
          <w:p w14:paraId="05D1FE14"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Teplice</w:t>
            </w:r>
          </w:p>
        </w:tc>
        <w:tc>
          <w:tcPr>
            <w:tcW w:w="4531" w:type="dxa"/>
          </w:tcPr>
          <w:p w14:paraId="640CF777"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2,9</w:t>
            </w:r>
          </w:p>
        </w:tc>
      </w:tr>
      <w:tr w:rsidR="00865C74" w:rsidRPr="008C7B1B" w14:paraId="5D11869E" w14:textId="77777777" w:rsidTr="00186923">
        <w:tc>
          <w:tcPr>
            <w:tcW w:w="4531" w:type="dxa"/>
          </w:tcPr>
          <w:p w14:paraId="70BD17E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Louny</w:t>
            </w:r>
          </w:p>
        </w:tc>
        <w:tc>
          <w:tcPr>
            <w:tcW w:w="4531" w:type="dxa"/>
          </w:tcPr>
          <w:p w14:paraId="214B33D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2,8</w:t>
            </w:r>
          </w:p>
        </w:tc>
      </w:tr>
      <w:tr w:rsidR="00865C74" w:rsidRPr="008C7B1B" w14:paraId="64050B80" w14:textId="77777777" w:rsidTr="00186923">
        <w:tc>
          <w:tcPr>
            <w:tcW w:w="4531" w:type="dxa"/>
          </w:tcPr>
          <w:p w14:paraId="0466335E"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Ostrava-město</w:t>
            </w:r>
          </w:p>
        </w:tc>
        <w:tc>
          <w:tcPr>
            <w:tcW w:w="4531" w:type="dxa"/>
          </w:tcPr>
          <w:p w14:paraId="5FCD5A10"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2,4</w:t>
            </w:r>
          </w:p>
        </w:tc>
      </w:tr>
      <w:tr w:rsidR="00865C74" w:rsidRPr="008C7B1B" w14:paraId="198D81D2" w14:textId="77777777" w:rsidTr="00186923">
        <w:tc>
          <w:tcPr>
            <w:tcW w:w="4531" w:type="dxa"/>
          </w:tcPr>
          <w:p w14:paraId="309718B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Sokolov</w:t>
            </w:r>
          </w:p>
        </w:tc>
        <w:tc>
          <w:tcPr>
            <w:tcW w:w="4531" w:type="dxa"/>
          </w:tcPr>
          <w:p w14:paraId="2F9C4846" w14:textId="77777777" w:rsidR="00865C74" w:rsidRPr="008C7B1B" w:rsidRDefault="00865C74" w:rsidP="00186923">
            <w:pPr>
              <w:keepNext/>
              <w:jc w:val="both"/>
              <w:rPr>
                <w:rFonts w:ascii="Calibri" w:hAnsi="Calibri" w:cs="Calibri"/>
                <w:sz w:val="22"/>
                <w:szCs w:val="22"/>
              </w:rPr>
            </w:pPr>
            <w:r w:rsidRPr="008C7B1B">
              <w:rPr>
                <w:rFonts w:ascii="Calibri" w:hAnsi="Calibri" w:cs="Calibri"/>
                <w:sz w:val="22"/>
                <w:szCs w:val="22"/>
              </w:rPr>
              <w:t>2,1</w:t>
            </w:r>
          </w:p>
        </w:tc>
      </w:tr>
    </w:tbl>
    <w:p w14:paraId="64BA0757" w14:textId="77777777" w:rsidR="00865C74" w:rsidRPr="008C7B1B" w:rsidRDefault="00865C74" w:rsidP="00865C74">
      <w:pPr>
        <w:spacing w:after="200" w:line="276" w:lineRule="auto"/>
        <w:jc w:val="both"/>
        <w:rPr>
          <w:rFonts w:ascii="Calibri" w:hAnsi="Calibri" w:cs="Calibri"/>
        </w:rPr>
      </w:pPr>
    </w:p>
    <w:p w14:paraId="4FB87B55" w14:textId="77777777" w:rsidR="00865C74" w:rsidRPr="00F16AB3"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r w:rsidRPr="00F16AB3">
        <w:rPr>
          <w:rFonts w:ascii="Calibri" w:hAnsi="Calibri" w:cs="Calibri"/>
          <w:b/>
          <w:bCs/>
          <w:i w:val="0"/>
          <w:iCs w:val="0"/>
          <w:color w:val="323E4F" w:themeColor="text2" w:themeShade="BF"/>
        </w:rPr>
        <w:t>Děti v poruchami, vadami a zdravotním znevýhodněním– základní školy</w:t>
      </w:r>
    </w:p>
    <w:p w14:paraId="736046D7" w14:textId="77777777" w:rsidR="00865C74" w:rsidRPr="008C7B1B" w:rsidRDefault="00865C74" w:rsidP="00865C74">
      <w:pPr>
        <w:jc w:val="both"/>
        <w:rPr>
          <w:rFonts w:ascii="Calibri" w:hAnsi="Calibri" w:cs="Calibri"/>
        </w:rPr>
      </w:pPr>
      <w:r w:rsidRPr="008C7B1B">
        <w:rPr>
          <w:rFonts w:ascii="Calibri" w:hAnsi="Calibri" w:cs="Calibri"/>
        </w:rPr>
        <w:t>Níže uvedená tabulka zobrazuje počet dětí v základních školách v okrese Louny s poruchami, vadami a zdravotním postižením. Uvedené údaje předávají školy a školská zařízení elektronicky prostřednictvím tzv. výkonových výkazů Ministerstvu školství, mládeže a tělovýchovy.</w:t>
      </w:r>
    </w:p>
    <w:p w14:paraId="4F8A9393" w14:textId="77777777" w:rsidR="00865C74" w:rsidRPr="008C7B1B" w:rsidRDefault="00865C74" w:rsidP="00865C74">
      <w:pPr>
        <w:rPr>
          <w:rFonts w:ascii="Calibri" w:hAnsi="Calibri" w:cs="Calibri"/>
        </w:rPr>
      </w:pPr>
      <w:r w:rsidRPr="008C7B1B">
        <w:rPr>
          <w:rFonts w:ascii="Calibri" w:hAnsi="Calibri" w:cs="Calibri"/>
        </w:rPr>
        <w:t>Ve všech sledovaných oblastech je možné pozorovat vzrůstající trend. Nejviditelnější nárůst zaznamenávají zejména hodnoty „Vada řeči“ a „Vývojové poruchy učení“.</w:t>
      </w:r>
    </w:p>
    <w:tbl>
      <w:tblPr>
        <w:tblStyle w:val="Mkatabulky"/>
        <w:tblW w:w="0" w:type="auto"/>
        <w:tblLook w:val="04A0" w:firstRow="1" w:lastRow="0" w:firstColumn="1" w:lastColumn="0" w:noHBand="0" w:noVBand="1"/>
      </w:tblPr>
      <w:tblGrid>
        <w:gridCol w:w="3542"/>
        <w:gridCol w:w="1380"/>
        <w:gridCol w:w="1380"/>
        <w:gridCol w:w="1380"/>
        <w:gridCol w:w="1380"/>
      </w:tblGrid>
      <w:tr w:rsidR="00865C74" w:rsidRPr="008C7B1B" w14:paraId="08AB1242" w14:textId="77777777" w:rsidTr="00186923">
        <w:tc>
          <w:tcPr>
            <w:tcW w:w="3542" w:type="dxa"/>
            <w:shd w:val="clear" w:color="auto" w:fill="323E4F" w:themeFill="text2" w:themeFillShade="BF"/>
          </w:tcPr>
          <w:p w14:paraId="124C56C8"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Druh</w:t>
            </w:r>
          </w:p>
        </w:tc>
        <w:tc>
          <w:tcPr>
            <w:tcW w:w="1380" w:type="dxa"/>
            <w:shd w:val="clear" w:color="auto" w:fill="323E4F" w:themeFill="text2" w:themeFillShade="BF"/>
          </w:tcPr>
          <w:p w14:paraId="15A9EB1C"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2020/2021</w:t>
            </w:r>
          </w:p>
        </w:tc>
        <w:tc>
          <w:tcPr>
            <w:tcW w:w="1380" w:type="dxa"/>
            <w:shd w:val="clear" w:color="auto" w:fill="323E4F" w:themeFill="text2" w:themeFillShade="BF"/>
          </w:tcPr>
          <w:p w14:paraId="32AD4A58"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2021/2023</w:t>
            </w:r>
          </w:p>
        </w:tc>
        <w:tc>
          <w:tcPr>
            <w:tcW w:w="1380" w:type="dxa"/>
            <w:shd w:val="clear" w:color="auto" w:fill="323E4F" w:themeFill="text2" w:themeFillShade="BF"/>
          </w:tcPr>
          <w:p w14:paraId="3D09DC26"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2022/2023</w:t>
            </w:r>
          </w:p>
        </w:tc>
        <w:tc>
          <w:tcPr>
            <w:tcW w:w="1380" w:type="dxa"/>
            <w:shd w:val="clear" w:color="auto" w:fill="323E4F" w:themeFill="text2" w:themeFillShade="BF"/>
          </w:tcPr>
          <w:p w14:paraId="3E4F70E7" w14:textId="77777777" w:rsidR="00865C74" w:rsidRPr="008C7B1B" w:rsidRDefault="00865C74" w:rsidP="00186923">
            <w:pPr>
              <w:jc w:val="both"/>
              <w:rPr>
                <w:rFonts w:ascii="Calibri" w:hAnsi="Calibri" w:cs="Calibri"/>
                <w:color w:val="FFFFFF" w:themeColor="background1"/>
                <w:sz w:val="22"/>
                <w:szCs w:val="22"/>
              </w:rPr>
            </w:pPr>
            <w:r w:rsidRPr="008C7B1B">
              <w:rPr>
                <w:rFonts w:ascii="Calibri" w:hAnsi="Calibri" w:cs="Calibri"/>
                <w:color w:val="FFFFFF" w:themeColor="background1"/>
                <w:sz w:val="22"/>
                <w:szCs w:val="22"/>
              </w:rPr>
              <w:t>2023/2024</w:t>
            </w:r>
          </w:p>
        </w:tc>
      </w:tr>
      <w:tr w:rsidR="00865C74" w:rsidRPr="008C7B1B" w14:paraId="585E1DDC" w14:textId="77777777" w:rsidTr="00186923">
        <w:tc>
          <w:tcPr>
            <w:tcW w:w="3542" w:type="dxa"/>
          </w:tcPr>
          <w:p w14:paraId="25E81444"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Poruchy autistického spektra</w:t>
            </w:r>
          </w:p>
        </w:tc>
        <w:tc>
          <w:tcPr>
            <w:tcW w:w="1380" w:type="dxa"/>
          </w:tcPr>
          <w:p w14:paraId="535E4793"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15</w:t>
            </w:r>
          </w:p>
        </w:tc>
        <w:tc>
          <w:tcPr>
            <w:tcW w:w="1380" w:type="dxa"/>
          </w:tcPr>
          <w:p w14:paraId="62ECA832"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15</w:t>
            </w:r>
          </w:p>
        </w:tc>
        <w:tc>
          <w:tcPr>
            <w:tcW w:w="1380" w:type="dxa"/>
          </w:tcPr>
          <w:p w14:paraId="2BFD5F2E"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20</w:t>
            </w:r>
          </w:p>
        </w:tc>
        <w:tc>
          <w:tcPr>
            <w:tcW w:w="1380" w:type="dxa"/>
          </w:tcPr>
          <w:p w14:paraId="32393975"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20</w:t>
            </w:r>
          </w:p>
        </w:tc>
      </w:tr>
      <w:tr w:rsidR="00865C74" w:rsidRPr="008C7B1B" w14:paraId="54C01D47" w14:textId="77777777" w:rsidTr="00186923">
        <w:tc>
          <w:tcPr>
            <w:tcW w:w="3542" w:type="dxa"/>
          </w:tcPr>
          <w:p w14:paraId="2DAC7164"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Vady řeči</w:t>
            </w:r>
          </w:p>
        </w:tc>
        <w:tc>
          <w:tcPr>
            <w:tcW w:w="1380" w:type="dxa"/>
          </w:tcPr>
          <w:p w14:paraId="4B86D574"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128</w:t>
            </w:r>
          </w:p>
        </w:tc>
        <w:tc>
          <w:tcPr>
            <w:tcW w:w="1380" w:type="dxa"/>
          </w:tcPr>
          <w:p w14:paraId="0EB7B1F7"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124</w:t>
            </w:r>
          </w:p>
        </w:tc>
        <w:tc>
          <w:tcPr>
            <w:tcW w:w="1380" w:type="dxa"/>
          </w:tcPr>
          <w:p w14:paraId="3832F6A5"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154</w:t>
            </w:r>
          </w:p>
        </w:tc>
        <w:tc>
          <w:tcPr>
            <w:tcW w:w="1380" w:type="dxa"/>
          </w:tcPr>
          <w:p w14:paraId="162CEE56"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148</w:t>
            </w:r>
          </w:p>
        </w:tc>
      </w:tr>
      <w:tr w:rsidR="00865C74" w:rsidRPr="008C7B1B" w14:paraId="67B4F21C" w14:textId="77777777" w:rsidTr="00186923">
        <w:tc>
          <w:tcPr>
            <w:tcW w:w="3542" w:type="dxa"/>
          </w:tcPr>
          <w:p w14:paraId="693003EF"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Vývojové poruchy chování</w:t>
            </w:r>
          </w:p>
        </w:tc>
        <w:tc>
          <w:tcPr>
            <w:tcW w:w="1380" w:type="dxa"/>
          </w:tcPr>
          <w:p w14:paraId="7213CB2D"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267</w:t>
            </w:r>
          </w:p>
        </w:tc>
        <w:tc>
          <w:tcPr>
            <w:tcW w:w="1380" w:type="dxa"/>
          </w:tcPr>
          <w:p w14:paraId="7C667800"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236</w:t>
            </w:r>
          </w:p>
        </w:tc>
        <w:tc>
          <w:tcPr>
            <w:tcW w:w="1380" w:type="dxa"/>
          </w:tcPr>
          <w:p w14:paraId="0216A58B"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271</w:t>
            </w:r>
          </w:p>
        </w:tc>
        <w:tc>
          <w:tcPr>
            <w:tcW w:w="1380" w:type="dxa"/>
          </w:tcPr>
          <w:p w14:paraId="39D97D9E"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273</w:t>
            </w:r>
          </w:p>
        </w:tc>
      </w:tr>
      <w:tr w:rsidR="00865C74" w:rsidRPr="008C7B1B" w14:paraId="130A0E58" w14:textId="77777777" w:rsidTr="00186923">
        <w:tc>
          <w:tcPr>
            <w:tcW w:w="3542" w:type="dxa"/>
          </w:tcPr>
          <w:p w14:paraId="23B9199B"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Vývojové poruchy učení</w:t>
            </w:r>
          </w:p>
        </w:tc>
        <w:tc>
          <w:tcPr>
            <w:tcW w:w="1380" w:type="dxa"/>
          </w:tcPr>
          <w:p w14:paraId="0F180556"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235</w:t>
            </w:r>
          </w:p>
        </w:tc>
        <w:tc>
          <w:tcPr>
            <w:tcW w:w="1380" w:type="dxa"/>
          </w:tcPr>
          <w:p w14:paraId="2791664C"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312</w:t>
            </w:r>
          </w:p>
        </w:tc>
        <w:tc>
          <w:tcPr>
            <w:tcW w:w="1380" w:type="dxa"/>
          </w:tcPr>
          <w:p w14:paraId="100E31FA"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337</w:t>
            </w:r>
          </w:p>
        </w:tc>
        <w:tc>
          <w:tcPr>
            <w:tcW w:w="1380" w:type="dxa"/>
          </w:tcPr>
          <w:p w14:paraId="0B9FF86C" w14:textId="77777777" w:rsidR="00865C74" w:rsidRPr="008C7B1B" w:rsidRDefault="00865C74" w:rsidP="00186923">
            <w:pPr>
              <w:jc w:val="center"/>
              <w:rPr>
                <w:rFonts w:ascii="Calibri" w:hAnsi="Calibri" w:cs="Calibri"/>
                <w:sz w:val="22"/>
                <w:szCs w:val="22"/>
              </w:rPr>
            </w:pPr>
            <w:r w:rsidRPr="008C7B1B">
              <w:rPr>
                <w:rFonts w:ascii="Calibri" w:hAnsi="Calibri" w:cs="Calibri"/>
                <w:sz w:val="22"/>
                <w:szCs w:val="22"/>
              </w:rPr>
              <w:t>349</w:t>
            </w:r>
          </w:p>
        </w:tc>
      </w:tr>
      <w:tr w:rsidR="00865C74" w:rsidRPr="008C7B1B" w14:paraId="634B0C7C" w14:textId="77777777" w:rsidTr="00186923">
        <w:tc>
          <w:tcPr>
            <w:tcW w:w="3542" w:type="dxa"/>
          </w:tcPr>
          <w:p w14:paraId="03D507E9" w14:textId="77777777" w:rsidR="00865C74" w:rsidRPr="008C7B1B" w:rsidRDefault="00865C74" w:rsidP="00186923">
            <w:pPr>
              <w:jc w:val="both"/>
              <w:rPr>
                <w:rFonts w:ascii="Calibri" w:hAnsi="Calibri" w:cs="Calibri"/>
                <w:sz w:val="22"/>
                <w:szCs w:val="22"/>
              </w:rPr>
            </w:pPr>
            <w:r w:rsidRPr="008C7B1B">
              <w:rPr>
                <w:rFonts w:ascii="Calibri" w:hAnsi="Calibri" w:cs="Calibri"/>
                <w:sz w:val="22"/>
                <w:szCs w:val="22"/>
              </w:rPr>
              <w:t>Zdravotní znevýhodnění</w:t>
            </w:r>
          </w:p>
        </w:tc>
        <w:tc>
          <w:tcPr>
            <w:tcW w:w="1380" w:type="dxa"/>
          </w:tcPr>
          <w:p w14:paraId="1E9D2321" w14:textId="77777777" w:rsidR="00865C74" w:rsidRPr="008C7B1B" w:rsidRDefault="00865C74" w:rsidP="00186923">
            <w:pPr>
              <w:keepNext/>
              <w:jc w:val="center"/>
              <w:rPr>
                <w:rFonts w:ascii="Calibri" w:hAnsi="Calibri" w:cs="Calibri"/>
                <w:sz w:val="22"/>
                <w:szCs w:val="22"/>
              </w:rPr>
            </w:pPr>
            <w:r w:rsidRPr="008C7B1B">
              <w:rPr>
                <w:rFonts w:ascii="Calibri" w:hAnsi="Calibri" w:cs="Calibri"/>
                <w:sz w:val="22"/>
                <w:szCs w:val="22"/>
              </w:rPr>
              <w:t>1102</w:t>
            </w:r>
          </w:p>
        </w:tc>
        <w:tc>
          <w:tcPr>
            <w:tcW w:w="1380" w:type="dxa"/>
          </w:tcPr>
          <w:p w14:paraId="0D596648" w14:textId="77777777" w:rsidR="00865C74" w:rsidRPr="008C7B1B" w:rsidRDefault="00865C74" w:rsidP="00186923">
            <w:pPr>
              <w:keepNext/>
              <w:jc w:val="center"/>
              <w:rPr>
                <w:rFonts w:ascii="Calibri" w:hAnsi="Calibri" w:cs="Calibri"/>
                <w:sz w:val="22"/>
                <w:szCs w:val="22"/>
              </w:rPr>
            </w:pPr>
            <w:r w:rsidRPr="008C7B1B">
              <w:rPr>
                <w:rFonts w:ascii="Calibri" w:hAnsi="Calibri" w:cs="Calibri"/>
                <w:sz w:val="22"/>
                <w:szCs w:val="22"/>
              </w:rPr>
              <w:t>1066</w:t>
            </w:r>
          </w:p>
        </w:tc>
        <w:tc>
          <w:tcPr>
            <w:tcW w:w="1380" w:type="dxa"/>
          </w:tcPr>
          <w:p w14:paraId="39B5A1F6" w14:textId="77777777" w:rsidR="00865C74" w:rsidRPr="008C7B1B" w:rsidRDefault="00865C74" w:rsidP="00186923">
            <w:pPr>
              <w:keepNext/>
              <w:jc w:val="center"/>
              <w:rPr>
                <w:rFonts w:ascii="Calibri" w:hAnsi="Calibri" w:cs="Calibri"/>
                <w:sz w:val="22"/>
                <w:szCs w:val="22"/>
              </w:rPr>
            </w:pPr>
            <w:r w:rsidRPr="008C7B1B">
              <w:rPr>
                <w:rFonts w:ascii="Calibri" w:hAnsi="Calibri" w:cs="Calibri"/>
                <w:sz w:val="22"/>
                <w:szCs w:val="22"/>
              </w:rPr>
              <w:t>1184</w:t>
            </w:r>
          </w:p>
        </w:tc>
        <w:tc>
          <w:tcPr>
            <w:tcW w:w="1380" w:type="dxa"/>
          </w:tcPr>
          <w:p w14:paraId="081330FD" w14:textId="77777777" w:rsidR="00865C74" w:rsidRPr="008C7B1B" w:rsidRDefault="00865C74" w:rsidP="00186923">
            <w:pPr>
              <w:keepNext/>
              <w:jc w:val="center"/>
              <w:rPr>
                <w:rFonts w:ascii="Calibri" w:hAnsi="Calibri" w:cs="Calibri"/>
                <w:sz w:val="22"/>
                <w:szCs w:val="22"/>
              </w:rPr>
            </w:pPr>
            <w:r w:rsidRPr="008C7B1B">
              <w:rPr>
                <w:rFonts w:ascii="Calibri" w:hAnsi="Calibri" w:cs="Calibri"/>
                <w:sz w:val="22"/>
                <w:szCs w:val="22"/>
              </w:rPr>
              <w:t>1197</w:t>
            </w:r>
          </w:p>
        </w:tc>
      </w:tr>
    </w:tbl>
    <w:p w14:paraId="512AE230" w14:textId="77777777" w:rsidR="00865C74" w:rsidRPr="008C7B1B" w:rsidRDefault="00865C74" w:rsidP="00865C74">
      <w:pPr>
        <w:spacing w:after="200" w:line="276" w:lineRule="auto"/>
        <w:jc w:val="both"/>
        <w:rPr>
          <w:rFonts w:ascii="Calibri" w:hAnsi="Calibri" w:cs="Calibri"/>
        </w:rPr>
      </w:pPr>
    </w:p>
    <w:p w14:paraId="75342FEA" w14:textId="77777777" w:rsidR="00865C74" w:rsidRDefault="00865C74" w:rsidP="00865C74">
      <w:pPr>
        <w:pStyle w:val="Nadpis4"/>
        <w:keepLines w:val="0"/>
        <w:widowControl w:val="0"/>
        <w:numPr>
          <w:ilvl w:val="3"/>
          <w:numId w:val="0"/>
        </w:numPr>
        <w:spacing w:before="240" w:after="60" w:line="288" w:lineRule="auto"/>
        <w:ind w:left="864" w:hanging="864"/>
        <w:rPr>
          <w:rFonts w:ascii="Calibri" w:hAnsi="Calibri" w:cs="Calibri"/>
          <w:b/>
          <w:bCs/>
          <w:i w:val="0"/>
          <w:iCs w:val="0"/>
          <w:color w:val="323E4F" w:themeColor="text2" w:themeShade="BF"/>
        </w:rPr>
      </w:pPr>
    </w:p>
    <w:p w14:paraId="6E1F1419" w14:textId="77777777" w:rsidR="00865C74" w:rsidRPr="00F16AB3" w:rsidRDefault="00865C74" w:rsidP="00865C74">
      <w:pPr>
        <w:pStyle w:val="Nadpis4"/>
        <w:keepLines w:val="0"/>
        <w:widowControl w:val="0"/>
        <w:numPr>
          <w:ilvl w:val="3"/>
          <w:numId w:val="0"/>
        </w:numPr>
        <w:spacing w:before="240" w:after="60" w:line="288" w:lineRule="auto"/>
        <w:ind w:left="864" w:hanging="864"/>
        <w:jc w:val="center"/>
        <w:rPr>
          <w:rFonts w:ascii="Calibri" w:hAnsi="Calibri" w:cs="Calibri"/>
          <w:b/>
          <w:bCs/>
          <w:i w:val="0"/>
          <w:iCs w:val="0"/>
          <w:color w:val="323E4F" w:themeColor="text2" w:themeShade="BF"/>
        </w:rPr>
      </w:pPr>
      <w:r w:rsidRPr="00F16AB3">
        <w:rPr>
          <w:rFonts w:ascii="Calibri" w:hAnsi="Calibri" w:cs="Calibri"/>
          <w:b/>
          <w:bCs/>
          <w:i w:val="0"/>
          <w:iCs w:val="0"/>
          <w:color w:val="323E4F" w:themeColor="text2" w:themeShade="BF"/>
        </w:rPr>
        <w:t>Doporučení pro vzdělávací neúspěšnosti a společném vzdělávání</w:t>
      </w:r>
    </w:p>
    <w:p w14:paraId="3952F918" w14:textId="77777777" w:rsidR="00865C74" w:rsidRPr="008C7B1B" w:rsidRDefault="00865C74" w:rsidP="00865C74">
      <w:pPr>
        <w:jc w:val="both"/>
        <w:rPr>
          <w:rFonts w:ascii="Calibri" w:hAnsi="Calibri" w:cs="Calibri"/>
          <w:b/>
          <w:bCs/>
        </w:rPr>
      </w:pPr>
      <w:r w:rsidRPr="008C7B1B">
        <w:rPr>
          <w:rFonts w:ascii="Calibri" w:hAnsi="Calibri" w:cs="Calibri"/>
          <w:b/>
          <w:bCs/>
        </w:rPr>
        <w:t>Lokální vzdělávací systém</w:t>
      </w:r>
    </w:p>
    <w:p w14:paraId="3F2AEADB" w14:textId="77777777" w:rsidR="00865C74" w:rsidRPr="008C7B1B" w:rsidRDefault="00865C74" w:rsidP="00865C74">
      <w:pPr>
        <w:pStyle w:val="Odstavecseseznamem"/>
        <w:widowControl w:val="0"/>
        <w:numPr>
          <w:ilvl w:val="0"/>
          <w:numId w:val="2"/>
        </w:numPr>
        <w:spacing w:after="0" w:line="288" w:lineRule="auto"/>
        <w:jc w:val="both"/>
        <w:rPr>
          <w:rFonts w:ascii="Calibri" w:hAnsi="Calibri" w:cs="Calibri"/>
        </w:rPr>
      </w:pPr>
      <w:r w:rsidRPr="008C7B1B">
        <w:rPr>
          <w:rFonts w:ascii="Calibri" w:hAnsi="Calibri" w:cs="Calibri"/>
        </w:rPr>
        <w:t>Zajištění srovnatelné kvality všech škol v rámci mikroregionu, tedy posun v učení všech dětí, nikoliv jako absolutních výsledků (více ke kvalitním činnostem škol – model Kvalitní školy či Metodické doporučení MŠMT pro zřizovatele).</w:t>
      </w:r>
    </w:p>
    <w:p w14:paraId="6C80A4EE" w14:textId="77777777" w:rsidR="00865C74" w:rsidRPr="008C7B1B" w:rsidRDefault="00865C74" w:rsidP="00865C74">
      <w:pPr>
        <w:pStyle w:val="Odstavecseseznamem"/>
        <w:widowControl w:val="0"/>
        <w:numPr>
          <w:ilvl w:val="0"/>
          <w:numId w:val="2"/>
        </w:numPr>
        <w:spacing w:after="0" w:line="288" w:lineRule="auto"/>
        <w:jc w:val="both"/>
        <w:rPr>
          <w:rFonts w:ascii="Calibri" w:hAnsi="Calibri" w:cs="Calibri"/>
        </w:rPr>
      </w:pPr>
      <w:r w:rsidRPr="008C7B1B">
        <w:rPr>
          <w:rFonts w:ascii="Calibri" w:hAnsi="Calibri" w:cs="Calibri"/>
        </w:rPr>
        <w:t>Organizace spolupráce všech místních aktérů (škol, soc. práce a NNO, OSPOD a dalších) v prevenci absencí, záškoláctví a celkového školního neúspěchu dítěte. Cílem je nastavení kooperativního a odbourání konkurenčního prostředí. To zahrnuje: a) pravidelná setkání, b) výměnu informací, plánování a vyhodnocení účinnosti aktivit, c) vytvoření a sledování klíčových indikátorů a faktorů školního neúspěchu (viz metodické doporučení MMR).</w:t>
      </w:r>
    </w:p>
    <w:p w14:paraId="1E442258" w14:textId="77777777" w:rsidR="00865C74" w:rsidRPr="008C7B1B" w:rsidRDefault="00865C74" w:rsidP="00865C74">
      <w:pPr>
        <w:pStyle w:val="Odstavecseseznamem"/>
        <w:widowControl w:val="0"/>
        <w:numPr>
          <w:ilvl w:val="0"/>
          <w:numId w:val="2"/>
        </w:numPr>
        <w:spacing w:after="0" w:line="288" w:lineRule="auto"/>
        <w:jc w:val="both"/>
        <w:rPr>
          <w:rFonts w:ascii="Calibri" w:hAnsi="Calibri" w:cs="Calibri"/>
        </w:rPr>
      </w:pPr>
      <w:r w:rsidRPr="008C7B1B">
        <w:rPr>
          <w:rFonts w:ascii="Calibri" w:hAnsi="Calibri" w:cs="Calibri"/>
        </w:rPr>
        <w:t>Zamezení vzniku segregovaných škol a při jejich existenci zrušení. Desegregace podporuje integraci, vzdělávací aspirace a sociální mobilitu.</w:t>
      </w:r>
    </w:p>
    <w:p w14:paraId="36E64264" w14:textId="77777777" w:rsidR="00865C74" w:rsidRPr="008C7B1B" w:rsidRDefault="00865C74" w:rsidP="00865C74">
      <w:pPr>
        <w:jc w:val="both"/>
        <w:rPr>
          <w:rFonts w:ascii="Calibri" w:hAnsi="Calibri" w:cs="Calibri"/>
        </w:rPr>
      </w:pPr>
    </w:p>
    <w:p w14:paraId="3A8DC78D" w14:textId="77777777" w:rsidR="00865C74" w:rsidRPr="008C7B1B" w:rsidRDefault="00865C74" w:rsidP="00865C74">
      <w:pPr>
        <w:jc w:val="both"/>
        <w:rPr>
          <w:rFonts w:ascii="Calibri" w:hAnsi="Calibri" w:cs="Calibri"/>
          <w:b/>
          <w:bCs/>
        </w:rPr>
      </w:pPr>
      <w:r w:rsidRPr="008C7B1B">
        <w:rPr>
          <w:rFonts w:ascii="Calibri" w:hAnsi="Calibri" w:cs="Calibri"/>
          <w:b/>
          <w:bCs/>
        </w:rPr>
        <w:t>Škola</w:t>
      </w:r>
    </w:p>
    <w:p w14:paraId="6C2D422A" w14:textId="77777777" w:rsidR="00865C74" w:rsidRPr="008C7B1B" w:rsidRDefault="00865C74" w:rsidP="00865C74">
      <w:pPr>
        <w:pStyle w:val="Odstavecseseznamem"/>
        <w:widowControl w:val="0"/>
        <w:numPr>
          <w:ilvl w:val="0"/>
          <w:numId w:val="3"/>
        </w:numPr>
        <w:spacing w:after="0" w:line="288" w:lineRule="auto"/>
        <w:jc w:val="both"/>
        <w:rPr>
          <w:rFonts w:ascii="Calibri" w:hAnsi="Calibri" w:cs="Calibri"/>
        </w:rPr>
      </w:pPr>
      <w:r w:rsidRPr="008C7B1B">
        <w:rPr>
          <w:rFonts w:ascii="Calibri" w:hAnsi="Calibri" w:cs="Calibri"/>
        </w:rPr>
        <w:t xml:space="preserve">Sledování výsledků žáků a nabízení pomoci těm, kteří neprospívají. Identifikace by měla probíhat jak proaktivně u rizikových skupin (žáci se SVP, vysokými absencemi, OMJ nebo ze znevýhodněného prostředí), tak reaktivně na základě zhoršujících se výsledků kteréhokoliv žáka. </w:t>
      </w:r>
    </w:p>
    <w:p w14:paraId="1F502C36" w14:textId="77777777" w:rsidR="00865C74" w:rsidRPr="008C7B1B" w:rsidRDefault="00865C74" w:rsidP="00865C74">
      <w:pPr>
        <w:pStyle w:val="Odstavecseseznamem"/>
        <w:widowControl w:val="0"/>
        <w:numPr>
          <w:ilvl w:val="0"/>
          <w:numId w:val="3"/>
        </w:numPr>
        <w:spacing w:after="0" w:line="288" w:lineRule="auto"/>
        <w:jc w:val="both"/>
        <w:rPr>
          <w:rFonts w:ascii="Calibri" w:hAnsi="Calibri" w:cs="Calibri"/>
        </w:rPr>
      </w:pPr>
      <w:r w:rsidRPr="008C7B1B">
        <w:rPr>
          <w:rFonts w:ascii="Calibri" w:hAnsi="Calibri" w:cs="Calibri"/>
        </w:rPr>
        <w:t>Formativní hodnocení, tedy sledování individuálního pokroku a stanovování dosažitelných výzev, umožňuje sbírat důkazy o učení všech žáků.</w:t>
      </w:r>
    </w:p>
    <w:p w14:paraId="61BCDD45" w14:textId="77777777" w:rsidR="00865C74" w:rsidRPr="008C7B1B" w:rsidRDefault="00865C74" w:rsidP="00865C74">
      <w:pPr>
        <w:pStyle w:val="Odstavecseseznamem"/>
        <w:widowControl w:val="0"/>
        <w:numPr>
          <w:ilvl w:val="0"/>
          <w:numId w:val="3"/>
        </w:numPr>
        <w:spacing w:after="0" w:line="288" w:lineRule="auto"/>
        <w:jc w:val="both"/>
        <w:rPr>
          <w:rFonts w:ascii="Calibri" w:hAnsi="Calibri" w:cs="Calibri"/>
        </w:rPr>
      </w:pPr>
      <w:r w:rsidRPr="008C7B1B">
        <w:rPr>
          <w:rFonts w:ascii="Calibri" w:hAnsi="Calibri" w:cs="Calibri"/>
        </w:rPr>
        <w:t xml:space="preserve">Zajištění prostředí školy bez šikany, podporující různé zájmy a neformální vzdělávání, včetně sportu. Sociální klima a atmosféra ve školách mohou být podpořeny např. adaptačními kurzy, jasným směřováním školy a přizpůsobení místním podmínkám (viz Vzdělávací úspěšnost + Hodnocení ČŠI). </w:t>
      </w:r>
    </w:p>
    <w:p w14:paraId="25818F1D" w14:textId="77777777" w:rsidR="00865C74" w:rsidRPr="008C7B1B" w:rsidRDefault="00865C74" w:rsidP="00865C74">
      <w:pPr>
        <w:pStyle w:val="Odstavecseseznamem"/>
        <w:widowControl w:val="0"/>
        <w:numPr>
          <w:ilvl w:val="0"/>
          <w:numId w:val="3"/>
        </w:numPr>
        <w:spacing w:after="0" w:line="288" w:lineRule="auto"/>
        <w:jc w:val="both"/>
        <w:rPr>
          <w:rFonts w:ascii="Calibri" w:hAnsi="Calibri" w:cs="Calibri"/>
        </w:rPr>
      </w:pPr>
      <w:r w:rsidRPr="008C7B1B">
        <w:rPr>
          <w:rFonts w:ascii="Calibri" w:hAnsi="Calibri" w:cs="Calibri"/>
        </w:rPr>
        <w:t xml:space="preserve">Podpora dalšího vzdělávání pedagogických pracovníků v oblastech inkluze dětí se zdravotním a/nebo sociokulturním znevýhodněním. </w:t>
      </w:r>
    </w:p>
    <w:p w14:paraId="765C065A" w14:textId="77777777" w:rsidR="00865C74" w:rsidRPr="008C7B1B" w:rsidRDefault="00865C74" w:rsidP="00865C74">
      <w:pPr>
        <w:pStyle w:val="Odstavecseseznamem"/>
        <w:widowControl w:val="0"/>
        <w:numPr>
          <w:ilvl w:val="0"/>
          <w:numId w:val="3"/>
        </w:numPr>
        <w:spacing w:after="0" w:line="288" w:lineRule="auto"/>
        <w:jc w:val="both"/>
        <w:rPr>
          <w:rFonts w:ascii="Calibri" w:hAnsi="Calibri" w:cs="Calibri"/>
        </w:rPr>
      </w:pPr>
      <w:r w:rsidRPr="008C7B1B">
        <w:rPr>
          <w:rFonts w:ascii="Calibri" w:hAnsi="Calibri" w:cs="Calibri"/>
        </w:rPr>
        <w:t xml:space="preserve">Podpora dosažitelných aspirací pro každého žáka vhodným využitím pedagogických metod a způsobů výuky. Využití například aktivizující pedagogiky oproti transmisivní („školometské“) nebo speciálních vzdělávací programů jako Feuersteinova metoda instrumentálního obohacení, Začít spolu či Hodnotové vzdělávání Cyril Mooney.  To vše ve spolupráci týmu školského poradenského pracoviště (viz Personální zajištění). </w:t>
      </w:r>
    </w:p>
    <w:p w14:paraId="436C9B16" w14:textId="77777777" w:rsidR="00865C74" w:rsidRPr="008C7B1B" w:rsidRDefault="00865C74" w:rsidP="00865C74">
      <w:pPr>
        <w:pStyle w:val="Odstavecseseznamem"/>
        <w:widowControl w:val="0"/>
        <w:numPr>
          <w:ilvl w:val="0"/>
          <w:numId w:val="3"/>
        </w:numPr>
        <w:spacing w:after="0" w:line="288" w:lineRule="auto"/>
        <w:jc w:val="both"/>
        <w:rPr>
          <w:rFonts w:ascii="Calibri" w:hAnsi="Calibri" w:cs="Calibri"/>
        </w:rPr>
      </w:pPr>
      <w:r w:rsidRPr="008C7B1B">
        <w:rPr>
          <w:rFonts w:ascii="Calibri" w:hAnsi="Calibri" w:cs="Calibri"/>
        </w:rPr>
        <w:t>Podpora informovanosti rodičů znevýhodněných žáků o možnostech podpory jejich dětí např. odborně zaměřenými tematickými setkáními organizovanými školami, informačními setkání k realizovaným proinkluzivním opatřením na školách a jejich významu nebo realizací společných akcí MŠ a předškolních center (adaptační dny, dny otevřených dveří, kulturní nebo sportovní akce atd.).</w:t>
      </w:r>
    </w:p>
    <w:p w14:paraId="20AA3358" w14:textId="77777777" w:rsidR="00B475F6" w:rsidRDefault="00B475F6"/>
    <w:sectPr w:rsidR="00B47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ira Sans Condensed">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765D00"/>
    <w:multiLevelType w:val="hybridMultilevel"/>
    <w:tmpl w:val="260CE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8E5FDF"/>
    <w:multiLevelType w:val="hybridMultilevel"/>
    <w:tmpl w:val="708C1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AEE47BF"/>
    <w:multiLevelType w:val="hybridMultilevel"/>
    <w:tmpl w:val="352A1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16020699">
    <w:abstractNumId w:val="1"/>
  </w:num>
  <w:num w:numId="2" w16cid:durableId="1510681261">
    <w:abstractNumId w:val="2"/>
  </w:num>
  <w:num w:numId="3" w16cid:durableId="141335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4"/>
    <w:rsid w:val="00051789"/>
    <w:rsid w:val="00063B9C"/>
    <w:rsid w:val="00317A57"/>
    <w:rsid w:val="0064325A"/>
    <w:rsid w:val="00865C74"/>
    <w:rsid w:val="00B47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4B8D"/>
  <w15:chartTrackingRefBased/>
  <w15:docId w15:val="{4F693C01-D58A-49C4-97D0-07A98919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5C74"/>
  </w:style>
  <w:style w:type="paragraph" w:styleId="Nadpis1">
    <w:name w:val="heading 1"/>
    <w:basedOn w:val="Normln"/>
    <w:next w:val="Normln"/>
    <w:link w:val="Nadpis1Char"/>
    <w:uiPriority w:val="9"/>
    <w:qFormat/>
    <w:rsid w:val="00865C7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
    <w:next w:val="Normln"/>
    <w:link w:val="Nadpis2Char"/>
    <w:uiPriority w:val="9"/>
    <w:semiHidden/>
    <w:unhideWhenUsed/>
    <w:qFormat/>
    <w:rsid w:val="00865C7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865C74"/>
    <w:pPr>
      <w:keepNext/>
      <w:keepLines/>
      <w:spacing w:before="160" w:after="80"/>
      <w:outlineLvl w:val="2"/>
    </w:pPr>
    <w:rPr>
      <w:rFonts w:eastAsiaTheme="majorEastAsia" w:cstheme="majorBidi"/>
      <w:color w:val="2F5496" w:themeColor="accent1" w:themeShade="BF"/>
      <w:sz w:val="28"/>
      <w:szCs w:val="28"/>
    </w:rPr>
  </w:style>
  <w:style w:type="paragraph" w:styleId="Nadpis4">
    <w:name w:val="heading 4"/>
    <w:basedOn w:val="Normln"/>
    <w:next w:val="Normln"/>
    <w:link w:val="Nadpis4Char"/>
    <w:unhideWhenUsed/>
    <w:qFormat/>
    <w:rsid w:val="00865C74"/>
    <w:pPr>
      <w:keepNext/>
      <w:keepLines/>
      <w:spacing w:before="80" w:after="40"/>
      <w:outlineLvl w:val="3"/>
    </w:pPr>
    <w:rPr>
      <w:rFonts w:eastAsiaTheme="majorEastAsia" w:cstheme="majorBidi"/>
      <w:i/>
      <w:iCs/>
      <w:color w:val="2F5496" w:themeColor="accent1" w:themeShade="BF"/>
    </w:rPr>
  </w:style>
  <w:style w:type="paragraph" w:styleId="Nadpis5">
    <w:name w:val="heading 5"/>
    <w:basedOn w:val="Normln"/>
    <w:next w:val="Normln"/>
    <w:link w:val="Nadpis5Char"/>
    <w:uiPriority w:val="9"/>
    <w:semiHidden/>
    <w:unhideWhenUsed/>
    <w:qFormat/>
    <w:rsid w:val="00865C74"/>
    <w:pPr>
      <w:keepNext/>
      <w:keepLines/>
      <w:spacing w:before="80" w:after="40"/>
      <w:outlineLvl w:val="4"/>
    </w:pPr>
    <w:rPr>
      <w:rFonts w:eastAsiaTheme="majorEastAsia" w:cstheme="majorBidi"/>
      <w:color w:val="2F5496" w:themeColor="accent1" w:themeShade="BF"/>
    </w:rPr>
  </w:style>
  <w:style w:type="paragraph" w:styleId="Nadpis6">
    <w:name w:val="heading 6"/>
    <w:basedOn w:val="Normln"/>
    <w:next w:val="Normln"/>
    <w:link w:val="Nadpis6Char"/>
    <w:uiPriority w:val="9"/>
    <w:semiHidden/>
    <w:unhideWhenUsed/>
    <w:qFormat/>
    <w:rsid w:val="00865C74"/>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65C74"/>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65C74"/>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65C74"/>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5C74"/>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Standardnpsmoodstavce"/>
    <w:link w:val="Nadpis2"/>
    <w:uiPriority w:val="9"/>
    <w:semiHidden/>
    <w:rsid w:val="00865C74"/>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865C74"/>
    <w:rPr>
      <w:rFonts w:eastAsiaTheme="majorEastAsia" w:cstheme="majorBidi"/>
      <w:color w:val="2F5496" w:themeColor="accent1" w:themeShade="BF"/>
      <w:sz w:val="28"/>
      <w:szCs w:val="28"/>
    </w:rPr>
  </w:style>
  <w:style w:type="character" w:customStyle="1" w:styleId="Nadpis4Char">
    <w:name w:val="Nadpis 4 Char"/>
    <w:basedOn w:val="Standardnpsmoodstavce"/>
    <w:link w:val="Nadpis4"/>
    <w:rsid w:val="00865C74"/>
    <w:rPr>
      <w:rFonts w:eastAsiaTheme="majorEastAsia" w:cstheme="majorBidi"/>
      <w:i/>
      <w:iCs/>
      <w:color w:val="2F5496" w:themeColor="accent1" w:themeShade="BF"/>
    </w:rPr>
  </w:style>
  <w:style w:type="character" w:customStyle="1" w:styleId="Nadpis5Char">
    <w:name w:val="Nadpis 5 Char"/>
    <w:basedOn w:val="Standardnpsmoodstavce"/>
    <w:link w:val="Nadpis5"/>
    <w:uiPriority w:val="9"/>
    <w:semiHidden/>
    <w:rsid w:val="00865C74"/>
    <w:rPr>
      <w:rFonts w:eastAsiaTheme="majorEastAsia" w:cstheme="majorBidi"/>
      <w:color w:val="2F5496" w:themeColor="accent1" w:themeShade="BF"/>
    </w:rPr>
  </w:style>
  <w:style w:type="character" w:customStyle="1" w:styleId="Nadpis6Char">
    <w:name w:val="Nadpis 6 Char"/>
    <w:basedOn w:val="Standardnpsmoodstavce"/>
    <w:link w:val="Nadpis6"/>
    <w:uiPriority w:val="9"/>
    <w:semiHidden/>
    <w:rsid w:val="00865C74"/>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65C74"/>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65C74"/>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65C74"/>
    <w:rPr>
      <w:rFonts w:eastAsiaTheme="majorEastAsia" w:cstheme="majorBidi"/>
      <w:color w:val="272727" w:themeColor="text1" w:themeTint="D8"/>
    </w:rPr>
  </w:style>
  <w:style w:type="paragraph" w:styleId="Nzev">
    <w:name w:val="Title"/>
    <w:basedOn w:val="Normln"/>
    <w:next w:val="Normln"/>
    <w:link w:val="NzevChar"/>
    <w:uiPriority w:val="10"/>
    <w:qFormat/>
    <w:rsid w:val="00865C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65C74"/>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65C74"/>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65C74"/>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65C74"/>
    <w:pPr>
      <w:spacing w:before="160"/>
      <w:jc w:val="center"/>
    </w:pPr>
    <w:rPr>
      <w:i/>
      <w:iCs/>
      <w:color w:val="404040" w:themeColor="text1" w:themeTint="BF"/>
    </w:rPr>
  </w:style>
  <w:style w:type="character" w:customStyle="1" w:styleId="CittChar">
    <w:name w:val="Citát Char"/>
    <w:basedOn w:val="Standardnpsmoodstavce"/>
    <w:link w:val="Citt"/>
    <w:uiPriority w:val="29"/>
    <w:rsid w:val="00865C74"/>
    <w:rPr>
      <w:i/>
      <w:iCs/>
      <w:color w:val="404040" w:themeColor="text1" w:themeTint="BF"/>
    </w:rPr>
  </w:style>
  <w:style w:type="paragraph" w:styleId="Odstavecseseznamem">
    <w:name w:val="List Paragraph"/>
    <w:aliases w:val="seznam písmena"/>
    <w:basedOn w:val="Normln"/>
    <w:link w:val="OdstavecseseznamemChar"/>
    <w:uiPriority w:val="34"/>
    <w:qFormat/>
    <w:rsid w:val="00865C74"/>
    <w:pPr>
      <w:ind w:left="720"/>
      <w:contextualSpacing/>
    </w:pPr>
  </w:style>
  <w:style w:type="character" w:styleId="Zdraznnintenzivn">
    <w:name w:val="Intense Emphasis"/>
    <w:basedOn w:val="Standardnpsmoodstavce"/>
    <w:uiPriority w:val="21"/>
    <w:qFormat/>
    <w:rsid w:val="00865C74"/>
    <w:rPr>
      <w:i/>
      <w:iCs/>
      <w:color w:val="2F5496" w:themeColor="accent1" w:themeShade="BF"/>
    </w:rPr>
  </w:style>
  <w:style w:type="paragraph" w:styleId="Vrazncitt">
    <w:name w:val="Intense Quote"/>
    <w:basedOn w:val="Normln"/>
    <w:next w:val="Normln"/>
    <w:link w:val="VrazncittChar"/>
    <w:uiPriority w:val="30"/>
    <w:qFormat/>
    <w:rsid w:val="00865C7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VrazncittChar">
    <w:name w:val="Výrazný citát Char"/>
    <w:basedOn w:val="Standardnpsmoodstavce"/>
    <w:link w:val="Vrazncitt"/>
    <w:uiPriority w:val="30"/>
    <w:rsid w:val="00865C74"/>
    <w:rPr>
      <w:i/>
      <w:iCs/>
      <w:color w:val="2F5496" w:themeColor="accent1" w:themeShade="BF"/>
    </w:rPr>
  </w:style>
  <w:style w:type="character" w:styleId="Odkazintenzivn">
    <w:name w:val="Intense Reference"/>
    <w:basedOn w:val="Standardnpsmoodstavce"/>
    <w:uiPriority w:val="32"/>
    <w:qFormat/>
    <w:rsid w:val="00865C74"/>
    <w:rPr>
      <w:b/>
      <w:bCs/>
      <w:smallCaps/>
      <w:color w:val="2F5496" w:themeColor="accent1" w:themeShade="BF"/>
      <w:spacing w:val="5"/>
    </w:rPr>
  </w:style>
  <w:style w:type="table" w:styleId="Mkatabulky">
    <w:name w:val="Table Grid"/>
    <w:basedOn w:val="Normlntabulka"/>
    <w:uiPriority w:val="39"/>
    <w:rsid w:val="00865C74"/>
    <w:pPr>
      <w:spacing w:after="0" w:line="240" w:lineRule="auto"/>
    </w:pPr>
    <w:rPr>
      <w:rFonts w:ascii="Liberation Serif" w:eastAsia="SimSun" w:hAnsi="Liberation Serif" w:cs="Arial"/>
      <w:kern w:val="0"/>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seznam písmena Char"/>
    <w:link w:val="Odstavecseseznamem"/>
    <w:uiPriority w:val="34"/>
    <w:locked/>
    <w:rsid w:val="00865C74"/>
  </w:style>
  <w:style w:type="paragraph" w:styleId="Titulek">
    <w:name w:val="caption"/>
    <w:basedOn w:val="Normln"/>
    <w:next w:val="Normln"/>
    <w:uiPriority w:val="35"/>
    <w:unhideWhenUsed/>
    <w:qFormat/>
    <w:rsid w:val="00865C74"/>
    <w:pPr>
      <w:widowControl w:val="0"/>
      <w:spacing w:after="200" w:line="240" w:lineRule="auto"/>
    </w:pPr>
    <w:rPr>
      <w:rFonts w:ascii="Calibri" w:hAnsi="Calibri" w:cs="Times New Roman"/>
      <w:i/>
      <w:iCs/>
      <w:color w:val="44546A" w:themeColor="text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 TargetMode="External"/><Relationship Id="rId3" Type="http://schemas.openxmlformats.org/officeDocument/2006/relationships/settings" Target="settings.xml"/><Relationship Id="rId7" Type="http://schemas.openxmlformats.org/officeDocument/2006/relationships/hyperlink" Targe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 TargetMode="External"/><Relationship Id="rId5" Type="http://schemas.openxmlformats.org/officeDocument/2006/relationships/hyperlink" Target="%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10679</Characters>
  <Application>Microsoft Office Word</Application>
  <DocSecurity>0</DocSecurity>
  <Lines>88</Lines>
  <Paragraphs>24</Paragraphs>
  <ScaleCrop>false</ScaleCrop>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Pospíšilová</dc:creator>
  <cp:keywords/>
  <dc:description/>
  <cp:lastModifiedBy>Alena Pospíšilová</cp:lastModifiedBy>
  <cp:revision>1</cp:revision>
  <dcterms:created xsi:type="dcterms:W3CDTF">2024-05-17T16:10:00Z</dcterms:created>
  <dcterms:modified xsi:type="dcterms:W3CDTF">2024-05-17T16:11:00Z</dcterms:modified>
</cp:coreProperties>
</file>