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6B4E" w14:textId="77777777" w:rsidR="00B14720" w:rsidRPr="00DE6EDD" w:rsidRDefault="00B14720" w:rsidP="00B14720">
      <w:pPr>
        <w:widowControl w:val="0"/>
        <w:spacing w:after="0" w:line="276" w:lineRule="auto"/>
        <w:rPr>
          <w:rFonts w:ascii="Calibri" w:eastAsia="Arial" w:hAnsi="Calibri" w:cs="Calibri"/>
          <w:noProof/>
          <w:color w:val="000000" w:themeColor="text1"/>
          <w:kern w:val="0"/>
          <w:u w:val="single"/>
          <w:lang w:eastAsia="cs-CZ"/>
          <w14:ligatures w14:val="none"/>
        </w:rPr>
      </w:pPr>
    </w:p>
    <w:p w14:paraId="095F716C" w14:textId="77777777" w:rsidR="00B14720" w:rsidRPr="00DE6EDD" w:rsidRDefault="00B14720" w:rsidP="00B14720">
      <w:pPr>
        <w:widowControl w:val="0"/>
        <w:spacing w:after="0" w:line="276" w:lineRule="auto"/>
        <w:rPr>
          <w:rFonts w:ascii="Calibri" w:eastAsia="Arial" w:hAnsi="Calibri" w:cs="Calibri"/>
          <w:noProof/>
          <w:color w:val="000000" w:themeColor="text1"/>
          <w:kern w:val="0"/>
          <w:u w:val="single"/>
          <w:lang w:eastAsia="cs-CZ"/>
          <w14:ligatures w14:val="none"/>
        </w:rPr>
      </w:pPr>
    </w:p>
    <w:p w14:paraId="2D8EE6CC" w14:textId="77777777" w:rsidR="00B14720" w:rsidRPr="00DE6EDD" w:rsidRDefault="00B14720" w:rsidP="00B14720">
      <w:pPr>
        <w:keepNext/>
        <w:keepLines/>
        <w:widowControl w:val="0"/>
        <w:spacing w:before="40" w:after="0" w:line="288" w:lineRule="auto"/>
        <w:outlineLvl w:val="1"/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lang w:eastAsia="cs-CZ"/>
          <w14:ligatures w14:val="none"/>
        </w:rPr>
      </w:pPr>
      <w:bookmarkStart w:id="0" w:name="_Toc139978160"/>
      <w:r w:rsidRPr="00DE6EDD"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lang w:eastAsia="cs-CZ"/>
          <w14:ligatures w14:val="none"/>
        </w:rPr>
        <w:t xml:space="preserve">3.1 </w:t>
      </w:r>
      <w:bookmarkStart w:id="1" w:name="_Hlk135652952"/>
      <w:r w:rsidRPr="00DE6EDD"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lang w:eastAsia="cs-CZ"/>
          <w14:ligatures w14:val="none"/>
        </w:rPr>
        <w:t>Priority</w:t>
      </w:r>
      <w:bookmarkEnd w:id="0"/>
    </w:p>
    <w:tbl>
      <w:tblPr>
        <w:tblStyle w:val="Mkatabulky"/>
        <w:tblW w:w="9606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</w:tblGrid>
      <w:tr w:rsidR="00B14720" w:rsidRPr="00DE6EDD" w14:paraId="4616E7C9" w14:textId="77777777" w:rsidTr="00FB1F99">
        <w:trPr>
          <w:trHeight w:val="555"/>
        </w:trPr>
        <w:tc>
          <w:tcPr>
            <w:tcW w:w="9606" w:type="dxa"/>
            <w:shd w:val="clear" w:color="auto" w:fill="222A35" w:themeFill="text2" w:themeFillShade="80"/>
          </w:tcPr>
          <w:p w14:paraId="5E38DA2D" w14:textId="77777777" w:rsidR="00B14720" w:rsidRPr="00DE6EDD" w:rsidRDefault="00B14720" w:rsidP="00FB1F99">
            <w:pPr>
              <w:widowControl w:val="0"/>
              <w:spacing w:line="288" w:lineRule="auto"/>
              <w:jc w:val="center"/>
              <w:rPr>
                <w:rFonts w:ascii="Arial" w:eastAsia="Arial" w:hAnsi="Arial" w:cs="Times New Roman"/>
                <w:b/>
                <w:bCs/>
                <w:noProof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</w:pPr>
            <w:r w:rsidRPr="00DE6EDD">
              <w:rPr>
                <w:rFonts w:ascii="Arial" w:eastAsia="Arial" w:hAnsi="Arial" w:cs="Times New Roman"/>
                <w:b/>
                <w:bCs/>
                <w:noProof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  <w:t>PRIORIT</w:t>
            </w:r>
            <w:r>
              <w:rPr>
                <w:rFonts w:ascii="Arial" w:eastAsia="Arial" w:hAnsi="Arial" w:cs="Times New Roman"/>
                <w:b/>
                <w:bCs/>
                <w:noProof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  <w:t>Y</w:t>
            </w:r>
          </w:p>
        </w:tc>
      </w:tr>
      <w:tr w:rsidR="00B14720" w:rsidRPr="00DE6EDD" w14:paraId="21741F60" w14:textId="77777777" w:rsidTr="00FB1F99">
        <w:tc>
          <w:tcPr>
            <w:tcW w:w="9606" w:type="dxa"/>
            <w:shd w:val="clear" w:color="auto" w:fill="ACB9CA" w:themeFill="text2" w:themeFillTint="66"/>
          </w:tcPr>
          <w:p w14:paraId="77C6D206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Arial" w:eastAsia="Arial" w:hAnsi="Arial" w:cs="Times New Roman"/>
                <w:b/>
                <w:bCs/>
                <w:noProof/>
                <w:color w:val="000000" w:themeColor="text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1.  KVALITNÍ, EFEKTIVNÍ, DOSTUPNÉ A INKLUZIVNÍ PŘEDŠKOLNÍ VZDĚLÁVÁNÍ </w:t>
            </w:r>
          </w:p>
        </w:tc>
      </w:tr>
      <w:tr w:rsidR="00B14720" w:rsidRPr="00DE6EDD" w14:paraId="1C74FEA4" w14:textId="77777777" w:rsidTr="00FB1F99">
        <w:tc>
          <w:tcPr>
            <w:tcW w:w="9606" w:type="dxa"/>
            <w:shd w:val="clear" w:color="auto" w:fill="FFFFFF" w:themeFill="background1"/>
          </w:tcPr>
          <w:p w14:paraId="7EE46EA0" w14:textId="77777777" w:rsidR="00B14720" w:rsidRPr="00AC0AA4" w:rsidRDefault="00B14720" w:rsidP="00FB1F99">
            <w:pPr>
              <w:tabs>
                <w:tab w:val="left" w:pos="3588"/>
              </w:tabs>
              <w:jc w:val="both"/>
              <w:rPr>
                <w:color w:val="000000" w:themeColor="text1"/>
              </w:rPr>
            </w:pPr>
            <w:r w:rsidRPr="0055183D">
              <w:rPr>
                <w:color w:val="000000" w:themeColor="text1"/>
              </w:rPr>
              <w:t xml:space="preserve">Zajištění kvalitního, moderního, efektivního a dostupného </w:t>
            </w:r>
            <w:r>
              <w:rPr>
                <w:color w:val="000000" w:themeColor="text1"/>
              </w:rPr>
              <w:t>předškolního</w:t>
            </w:r>
            <w:r w:rsidRPr="0055183D">
              <w:rPr>
                <w:color w:val="000000" w:themeColor="text1"/>
              </w:rPr>
              <w:t xml:space="preserve"> vzdělávání vyžaduje zaměření na potřeby každého </w:t>
            </w:r>
            <w:r>
              <w:rPr>
                <w:color w:val="000000" w:themeColor="text1"/>
              </w:rPr>
              <w:t>dítěte</w:t>
            </w:r>
            <w:r w:rsidRPr="0055183D">
              <w:rPr>
                <w:color w:val="000000" w:themeColor="text1"/>
              </w:rPr>
              <w:t xml:space="preserve">, s respektem k jejich individuálním odlišnostem a podporou jejich osobního rozvoje. Je důležité věnovat podporu inkluzivnímu vzdělávání, které zajistí rovné příležitosti pro všechny děti bez ohledu na jejich sociální či zdravotní podmínky. Důraz musí být nadále kladen i na investice do moderní infrastruktury, aby vzdělávací prostory odpovídaly současným požadavkům, byly bezpečné, funkční a inspirativní pro </w:t>
            </w:r>
            <w:r>
              <w:rPr>
                <w:color w:val="000000" w:themeColor="text1"/>
              </w:rPr>
              <w:t>děti</w:t>
            </w:r>
            <w:r w:rsidRPr="0055183D">
              <w:rPr>
                <w:color w:val="000000" w:themeColor="text1"/>
              </w:rPr>
              <w:t xml:space="preserve"> i pedagogy.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</w:rPr>
              <w:t xml:space="preserve">Aktuální potřeby předškolního vzdělávání vyžadují rekonstrukce a obnovu vybavení mateřských škol, zajištění bezbariérovosti zařízení a zajištění podnětného venkovního prostředí – školní zahrady, učebny v přírodě, altány, hřiště. Nadále je důležité podporovat rozvoj inkluzivního vzdělávání v MŠ a s tím související kvalitní a dostatečné personální zajištění a zavádění nových metod do výuky. Je potřeba se i nadále soustředit na podporu </w:t>
            </w:r>
            <w:proofErr w:type="spellStart"/>
            <w:r>
              <w:rPr>
                <w:rFonts w:cstheme="minorHAnsi"/>
              </w:rPr>
              <w:t>pre</w:t>
            </w:r>
            <w:proofErr w:type="spellEnd"/>
            <w:r>
              <w:rPr>
                <w:rFonts w:cstheme="minorHAnsi"/>
              </w:rPr>
              <w:t xml:space="preserve">/gramotností, podporu vzrůstajícího počtu dětí s OMJ a na podporu logopedické prevence. </w:t>
            </w:r>
            <w:r w:rsidRPr="0035011B">
              <w:rPr>
                <w:rFonts w:cstheme="minorHAnsi"/>
              </w:rPr>
              <w:t xml:space="preserve">Neodmyslitelnou součástí této priority je </w:t>
            </w:r>
            <w:r>
              <w:rPr>
                <w:rFonts w:cstheme="minorHAnsi"/>
              </w:rPr>
              <w:t xml:space="preserve">i </w:t>
            </w:r>
            <w:r w:rsidRPr="0035011B">
              <w:rPr>
                <w:rFonts w:cstheme="minorHAnsi"/>
              </w:rPr>
              <w:t xml:space="preserve">péče o vzdělávání pedagogických pracovníků, umožnění sdílení osvědčených postupů a zkušeností, čímž se podpoří kvalita výuky. Neméně důležité je vytvoření příjemného a podporujícího prostředí, které zohlední duševní zdraví </w:t>
            </w:r>
            <w:r>
              <w:rPr>
                <w:rFonts w:cstheme="minorHAnsi"/>
              </w:rPr>
              <w:t xml:space="preserve">dětí </w:t>
            </w:r>
            <w:r w:rsidRPr="0035011B">
              <w:rPr>
                <w:rFonts w:cstheme="minorHAnsi"/>
              </w:rPr>
              <w:t>i pedagogů, čímž se posílí motivace a spokojenost všech aktérů vzdělávacího procesu.</w:t>
            </w:r>
            <w:r>
              <w:rPr>
                <w:rFonts w:cstheme="minorHAnsi"/>
              </w:rPr>
              <w:t xml:space="preserve"> </w:t>
            </w:r>
            <w:r w:rsidRPr="0035011B">
              <w:rPr>
                <w:rFonts w:cstheme="minorHAnsi"/>
              </w:rPr>
              <w:t xml:space="preserve">Zvláštní pozornost </w:t>
            </w:r>
            <w:r>
              <w:rPr>
                <w:rFonts w:cstheme="minorHAnsi"/>
              </w:rPr>
              <w:t>by také měla být věnována</w:t>
            </w:r>
            <w:r w:rsidRPr="0035011B">
              <w:rPr>
                <w:rFonts w:cstheme="minorHAnsi"/>
              </w:rPr>
              <w:t xml:space="preserve"> zlepšení komunikace s rodiči, kteří hrají klíčovou roli v podpoře vzdělávání svých dětí. Posílením spolupráce mezi školou a rodinou lze zajistit lepší informovanost, sdílení cílů a efektivní podporu rozvoje každého </w:t>
            </w:r>
            <w:r>
              <w:rPr>
                <w:rFonts w:cstheme="minorHAnsi"/>
              </w:rPr>
              <w:t>dítěte. V neposlední řadě je</w:t>
            </w:r>
            <w:r w:rsidRPr="0035011B">
              <w:rPr>
                <w:rFonts w:cstheme="minorHAnsi"/>
              </w:rPr>
              <w:t xml:space="preserve"> třeba </w:t>
            </w:r>
            <w:r>
              <w:rPr>
                <w:rFonts w:cstheme="minorHAnsi"/>
              </w:rPr>
              <w:t xml:space="preserve">nadále </w:t>
            </w:r>
            <w:r w:rsidRPr="0035011B">
              <w:rPr>
                <w:rFonts w:cstheme="minorHAnsi"/>
              </w:rPr>
              <w:t xml:space="preserve">podporovat </w:t>
            </w:r>
            <w:r>
              <w:rPr>
                <w:rFonts w:cstheme="minorHAnsi"/>
              </w:rPr>
              <w:t>cílené aktivity, které se zaměřují na podporu přechodu mezi stupni vzdělávání a díky nimž bude usnadněn přechod dětí z MŠ na ZŠ.</w:t>
            </w:r>
          </w:p>
        </w:tc>
      </w:tr>
      <w:tr w:rsidR="00B14720" w:rsidRPr="00DE6EDD" w14:paraId="3C4E03AF" w14:textId="77777777" w:rsidTr="00FB1F99">
        <w:tc>
          <w:tcPr>
            <w:tcW w:w="9606" w:type="dxa"/>
            <w:shd w:val="clear" w:color="auto" w:fill="ACB9CA" w:themeFill="text2" w:themeFillTint="66"/>
          </w:tcPr>
          <w:p w14:paraId="4F599FA3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Arial" w:eastAsia="Arial" w:hAnsi="Arial" w:cs="Times New Roman"/>
                <w:b/>
                <w:bCs/>
                <w:noProof/>
                <w:color w:val="000000" w:themeColor="text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t>2.  KVALITNÍ, EFEKTIVNÍ, DOSTUPNÉ A INKLUZIVNÍ ZÁKLADNÍ  VZDĚLÁVÁNÍ</w:t>
            </w:r>
          </w:p>
        </w:tc>
      </w:tr>
      <w:tr w:rsidR="00B14720" w:rsidRPr="00DE6EDD" w14:paraId="75979F28" w14:textId="77777777" w:rsidTr="00FB1F99">
        <w:tc>
          <w:tcPr>
            <w:tcW w:w="9606" w:type="dxa"/>
            <w:shd w:val="clear" w:color="auto" w:fill="FFFFFF" w:themeFill="background1"/>
          </w:tcPr>
          <w:p w14:paraId="447A760A" w14:textId="77777777" w:rsidR="00B14720" w:rsidRDefault="00B14720" w:rsidP="00FB1F99">
            <w:pPr>
              <w:pStyle w:val="Normln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>Zajištění kvalitního, moderního, efektivního a dostupného základního vzdělávání vyžaduje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zaměření na potřeby každého žáka, s respektem k jejich individuálním odlišnostem a podporou jejich osobního rozvoje.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>e důležit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 věnovat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 podpor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 inkluzivní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>vzdělávání, které zajistí rovné příležitosti pro všechny děti bez ohledu na jejich sociální či zdravotní podmínky.</w:t>
            </w:r>
            <w:r w:rsidRPr="00740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Důraz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musí být nadále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 kladen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>na investice do moderní infrastruktury, aby vzdělávací prostory odpovídaly současným požadavkům, byly bezpečné, funkční a inspirativní pro žáky i pedagogy.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nadcházejícím období je prioritou na území ORP Louny </w:t>
            </w:r>
            <w:r w:rsidRPr="00740442">
              <w:rPr>
                <w:rFonts w:asciiTheme="minorHAnsi" w:hAnsiTheme="minorHAnsi" w:cstheme="minorHAnsi"/>
                <w:sz w:val="22"/>
                <w:szCs w:val="22"/>
              </w:rPr>
              <w:t>modernizace a zkvalitnění infrastruktury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740442">
              <w:rPr>
                <w:rFonts w:asciiTheme="minorHAnsi" w:hAnsiTheme="minorHAnsi" w:cstheme="minorHAnsi"/>
                <w:sz w:val="22"/>
                <w:szCs w:val="22"/>
              </w:rPr>
              <w:t>vytvoření vhodných prostor jak uvnitř školských budov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kmenové třídy, bezbariérové úpravy, tělocvičny, dílny, jídelny včetně zajištění moderního vybavení pro rozvoj klíčových kompetencí např. v oblasti cizích jazyků, polytechniky, podnikavosti, finanční gramotnosti</w:t>
            </w:r>
            <w:r w:rsidRPr="00740442">
              <w:rPr>
                <w:rFonts w:asciiTheme="minorHAnsi" w:hAnsiTheme="minorHAnsi" w:cstheme="minorHAnsi"/>
                <w:sz w:val="22"/>
                <w:szCs w:val="22"/>
              </w:rPr>
              <w:t xml:space="preserve">, tak v jejich okolí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především s podporou podnětného venkovního prostředí – učebny v přírodě, altány, hřiště. 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Klíčovým prvkem 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taktéž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>zapojení moderních technologií a inovativních metod výuky, které žákům poskytnou dovednosti nezbytné pro budoucí úspěch v rychle se měnícím světě.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Neodmyslitelnou součástí této priority 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>péče o vzdělávání pedagogických pracovníků, umožnění sdílení osvědčených postupů a zkušeností, čímž se podpoří kvalita výuky. Neméně důležité je vytvoření příjemného a podporujícího prostředí, které zohlední duševní zdraví žáků i pedagogů, čímž se posílí motivace a spokojenost všech aktérů vzdělávacího procesu.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Zvláštní pozornost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by také měla být věnována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 zlepšení komunikace s rodiči, kteří hrají klíčovou roli v podpoře vzdělávání svých dětí. Posílením spolupráce mezi školou a rodinou lze zajistit lepší informovanost, sdílení cílů a efektivní podporu rozvoje každého žáka.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neposlední řadě je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 třeba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nadále </w:t>
            </w:r>
            <w:r w:rsidRPr="0035011B">
              <w:rPr>
                <w:rFonts w:asciiTheme="minorHAnsi" w:hAnsiTheme="minorHAnsi" w:cstheme="minorHAnsi"/>
                <w:sz w:val="22"/>
                <w:szCs w:val="22"/>
              </w:rPr>
              <w:t xml:space="preserve">podporovat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cílené aktivity, které se zaměřují na podporu přechodu mezi stupni vzdělávání a díky nimž bude usnadněn přechod dětí z nižšího stupně na stupeň vyšší a poté na SŠ.</w:t>
            </w:r>
          </w:p>
          <w:p w14:paraId="00752F74" w14:textId="77777777" w:rsidR="0033017A" w:rsidRDefault="0033017A" w:rsidP="00FB1F99">
            <w:pPr>
              <w:pStyle w:val="Normln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037C1" w14:textId="77777777" w:rsidR="00B14720" w:rsidRPr="007F6267" w:rsidRDefault="00B14720" w:rsidP="00FB1F99">
            <w:pPr>
              <w:pStyle w:val="Normln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4720" w:rsidRPr="00DE6EDD" w14:paraId="5A9034CA" w14:textId="77777777" w:rsidTr="00FB1F99">
        <w:tc>
          <w:tcPr>
            <w:tcW w:w="9606" w:type="dxa"/>
            <w:shd w:val="clear" w:color="auto" w:fill="ACB9CA" w:themeFill="text2" w:themeFillTint="66"/>
          </w:tcPr>
          <w:p w14:paraId="54C1BCA3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lastRenderedPageBreak/>
              <w:t xml:space="preserve">3.  VYSPĚLÁ INFRASTRUKTURA ŠKOLSKÝCH ZAŘÍZENÍ, VČETNĚ INFRASTRUKTURY    </w:t>
            </w:r>
          </w:p>
          <w:p w14:paraId="276EA3D7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NEFORMÁLNÍHO VZDĚLÁVÁNÍ</w:t>
            </w:r>
          </w:p>
        </w:tc>
      </w:tr>
      <w:tr w:rsidR="00B14720" w:rsidRPr="00DE6EDD" w14:paraId="3D89384B" w14:textId="77777777" w:rsidTr="00FB1F99">
        <w:tc>
          <w:tcPr>
            <w:tcW w:w="9606" w:type="dxa"/>
            <w:shd w:val="clear" w:color="auto" w:fill="FFFFFF" w:themeFill="background1"/>
          </w:tcPr>
          <w:p w14:paraId="6946005F" w14:textId="77777777" w:rsidR="00B14720" w:rsidRPr="007F6267" w:rsidRDefault="00B14720" w:rsidP="00FB1F99">
            <w:pPr>
              <w:jc w:val="both"/>
            </w:pPr>
            <w:r>
              <w:t xml:space="preserve">Mnoho budov škol a školských zařízení potřebuje i nadále rozsáhlé rekonstrukce, v podobě modernizace učeben, ať kmenových či odborných, zajištění vnitřní i vnější konektivity, snižování energetické náročnosti, výměnu elektroinstalací, půdní vestavby, rekonstrukce tělocvičen, či zlepšení zabezpečení objektů. Dále je třeba se zaměřit i na další infrastrukturu, jakou jsou kuchyně, jídelny, zahrady, hřiště, </w:t>
            </w:r>
            <w:proofErr w:type="gramStart"/>
            <w:r>
              <w:t>tělocvičny,</w:t>
            </w:r>
            <w:proofErr w:type="gramEnd"/>
            <w:r>
              <w:t xml:space="preserve"> apod., které rovněž vyžadují rekonstrukce a v některých případech nutnou modernizaci. I v oblasti neformálního vzdělávání jsou identifikovány investiční potřeby především v podobě podpory podnětného venkovního prostředí školy – zahrady, altány, venkovní místa pro konání vystoupení, rekonstrukce učeben/sálů, modernizace pláště budov, zateplení, bezbariérové stavební úpravy, přístavba budov a v neposlední řadě i kvalitní a moderní vybavení </w:t>
            </w:r>
          </w:p>
        </w:tc>
      </w:tr>
      <w:tr w:rsidR="00B14720" w:rsidRPr="00DE6EDD" w14:paraId="6DB6EC01" w14:textId="77777777" w:rsidTr="00FB1F99">
        <w:tc>
          <w:tcPr>
            <w:tcW w:w="9606" w:type="dxa"/>
            <w:shd w:val="clear" w:color="auto" w:fill="ACB9CA" w:themeFill="text2" w:themeFillTint="66"/>
          </w:tcPr>
          <w:p w14:paraId="544171C8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t>4.  MODERNÍ A POPULÁRNÍ NEFORMÁLNÍ A ZÁJMOVÉ VZDĚLÁVÁNÍ</w:t>
            </w:r>
          </w:p>
        </w:tc>
      </w:tr>
      <w:tr w:rsidR="00B14720" w:rsidRPr="00DE6EDD" w14:paraId="281ADE68" w14:textId="77777777" w:rsidTr="00FB1F99">
        <w:tc>
          <w:tcPr>
            <w:tcW w:w="9606" w:type="dxa"/>
            <w:shd w:val="clear" w:color="auto" w:fill="FFFFFF" w:themeFill="background1"/>
          </w:tcPr>
          <w:p w14:paraId="1D88E737" w14:textId="77777777" w:rsidR="00B14720" w:rsidRPr="007F6267" w:rsidRDefault="00B14720" w:rsidP="00FB1F99">
            <w:pPr>
              <w:jc w:val="both"/>
            </w:pPr>
            <w:r>
              <w:t>Prioritní je propojování škol a organizací poskytujících neformální a zájmové vzdělávání, sdílení zkušeností, materiálů, prostor a realizace společných akcí a aktivit. Je třeba se dále věnovat rekonstrukcím a rozvoji infrastruktury pro zájmové a neformální vzdělávání, zajištění dostatečných kapacit a kvalitního vybavení. Je třeba se zaměřit také na rozšíření a doplnění nabídky vzdělávání pro rozvoj vědy, polytechniky, jazykových kompetencí, podnikavosti, iniciativy, kultury a zdravého životního stylu. Pozornost by měla být věnována také vzdělávání pedagogických i nepedagogických pracovníků.</w:t>
            </w:r>
          </w:p>
        </w:tc>
      </w:tr>
      <w:tr w:rsidR="00B14720" w:rsidRPr="00DE6EDD" w14:paraId="211E1729" w14:textId="77777777" w:rsidTr="00FB1F99">
        <w:tc>
          <w:tcPr>
            <w:tcW w:w="9606" w:type="dxa"/>
            <w:shd w:val="clear" w:color="auto" w:fill="ACB9CA" w:themeFill="text2" w:themeFillTint="66"/>
          </w:tcPr>
          <w:p w14:paraId="29D302D1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5.  VZÁJEMNÁ PODPORA, SPOLUPRÁCE A SDÍLENÍ INFORMACÍ MEZI AKTÉRY </w:t>
            </w:r>
          </w:p>
          <w:p w14:paraId="1F1FC6E6" w14:textId="77777777" w:rsidR="00B14720" w:rsidRPr="00DE6EDD" w:rsidRDefault="00B14720" w:rsidP="00FB1F99">
            <w:pPr>
              <w:widowControl w:val="0"/>
              <w:spacing w:line="288" w:lineRule="auto"/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VZDĚLÁVÁNÍ</w:t>
            </w:r>
          </w:p>
        </w:tc>
      </w:tr>
      <w:tr w:rsidR="00B14720" w:rsidRPr="00DE6EDD" w14:paraId="1F08C4E4" w14:textId="77777777" w:rsidTr="00FB1F99">
        <w:tc>
          <w:tcPr>
            <w:tcW w:w="9606" w:type="dxa"/>
            <w:shd w:val="clear" w:color="auto" w:fill="FFFFFF" w:themeFill="background1"/>
          </w:tcPr>
          <w:p w14:paraId="1A6B3CD0" w14:textId="77777777" w:rsidR="00B14720" w:rsidRPr="00AC0AA4" w:rsidRDefault="00B14720" w:rsidP="00FB1F99">
            <w:pPr>
              <w:jc w:val="both"/>
            </w:pPr>
            <w:r>
              <w:t>Prioritou je rovněž podpora spolupráce relevantních aktérů vzdělávání, sdílení kapacit, materiálů a dobré praxe. Bylo by vhodné se zaměřit zejména na podporu spolupráce všech aktérů ve vzdělávání, podporovat tandemovou výuku, podporovat supervizní činnost na školách, společné stáže a realizace společných akcí pro cílové skupiny.</w:t>
            </w:r>
          </w:p>
        </w:tc>
      </w:tr>
      <w:bookmarkEnd w:id="1"/>
    </w:tbl>
    <w:p w14:paraId="2E7623B0" w14:textId="77777777" w:rsidR="00B14720" w:rsidRPr="00DE6EDD" w:rsidRDefault="00B14720" w:rsidP="00B14720">
      <w:pPr>
        <w:keepNext/>
        <w:keepLines/>
        <w:widowControl w:val="0"/>
        <w:spacing w:before="40" w:after="0" w:line="288" w:lineRule="auto"/>
        <w:outlineLvl w:val="1"/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lang w:eastAsia="cs-CZ"/>
          <w14:ligatures w14:val="none"/>
        </w:rPr>
      </w:pPr>
    </w:p>
    <w:p w14:paraId="0543EE02" w14:textId="77777777" w:rsidR="00B14720" w:rsidRPr="00DE6EDD" w:rsidRDefault="00B14720" w:rsidP="00B14720">
      <w:pPr>
        <w:widowControl w:val="0"/>
        <w:spacing w:after="0" w:line="288" w:lineRule="auto"/>
        <w:rPr>
          <w:rFonts w:ascii="Arial" w:eastAsia="Arial" w:hAnsi="Arial" w:cs="Times New Roman"/>
          <w:noProof/>
          <w:kern w:val="0"/>
          <w:sz w:val="24"/>
          <w:szCs w:val="20"/>
          <w:lang w:eastAsia="cs-CZ"/>
          <w14:ligatures w14:val="none"/>
        </w:rPr>
      </w:pPr>
    </w:p>
    <w:p w14:paraId="1A0E78C1" w14:textId="77777777" w:rsidR="00B14720" w:rsidRPr="00DE6EDD" w:rsidRDefault="00B14720" w:rsidP="00B14720">
      <w:pPr>
        <w:widowControl w:val="0"/>
        <w:spacing w:after="0" w:line="288" w:lineRule="auto"/>
        <w:rPr>
          <w:rFonts w:ascii="Arial" w:eastAsia="Arial" w:hAnsi="Arial" w:cs="Times New Roman"/>
          <w:noProof/>
          <w:kern w:val="0"/>
          <w:sz w:val="24"/>
          <w:szCs w:val="20"/>
          <w:lang w:eastAsia="cs-CZ"/>
          <w14:ligatures w14:val="none"/>
        </w:rPr>
      </w:pPr>
    </w:p>
    <w:p w14:paraId="383B362B" w14:textId="77777777" w:rsidR="00B14720" w:rsidRPr="00DE6EDD" w:rsidRDefault="00B14720" w:rsidP="00B14720">
      <w:pPr>
        <w:widowControl w:val="0"/>
        <w:spacing w:after="0" w:line="288" w:lineRule="auto"/>
        <w:rPr>
          <w:rFonts w:ascii="Arial" w:eastAsia="Arial" w:hAnsi="Arial" w:cs="Times New Roman"/>
          <w:noProof/>
          <w:kern w:val="0"/>
          <w:sz w:val="24"/>
          <w:szCs w:val="20"/>
          <w:lang w:eastAsia="cs-CZ"/>
          <w14:ligatures w14:val="none"/>
        </w:rPr>
      </w:pPr>
    </w:p>
    <w:p w14:paraId="343FE0B6" w14:textId="77777777" w:rsidR="00B475F6" w:rsidRDefault="00B475F6"/>
    <w:sectPr w:rsidR="00B4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0"/>
    <w:rsid w:val="00051789"/>
    <w:rsid w:val="00063B9C"/>
    <w:rsid w:val="0033017A"/>
    <w:rsid w:val="0064325A"/>
    <w:rsid w:val="008F2EB3"/>
    <w:rsid w:val="00B14720"/>
    <w:rsid w:val="00B475F6"/>
    <w:rsid w:val="00BD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C4B"/>
  <w15:chartTrackingRefBased/>
  <w15:docId w15:val="{AC58D3EC-A456-4022-B391-EB19286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720"/>
  </w:style>
  <w:style w:type="paragraph" w:styleId="Nadpis1">
    <w:name w:val="heading 1"/>
    <w:basedOn w:val="Normln"/>
    <w:next w:val="Normln"/>
    <w:link w:val="Nadpis1Char"/>
    <w:uiPriority w:val="9"/>
    <w:qFormat/>
    <w:rsid w:val="00B14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7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7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7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7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7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7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7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7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7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7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72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B1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2025-06-10T04:53:00Z</dcterms:created>
  <dcterms:modified xsi:type="dcterms:W3CDTF">2025-06-10T04:53:00Z</dcterms:modified>
</cp:coreProperties>
</file>