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1938" w14:textId="77777777" w:rsidR="005550AE" w:rsidRDefault="005550AE" w:rsidP="005550AE">
      <w:pPr>
        <w:jc w:val="both"/>
      </w:pPr>
    </w:p>
    <w:p w14:paraId="1C2C36D1" w14:textId="77777777" w:rsidR="005550AE" w:rsidRDefault="005550AE" w:rsidP="005550AE">
      <w:pPr>
        <w:jc w:val="both"/>
      </w:pPr>
    </w:p>
    <w:p w14:paraId="0EF97D44" w14:textId="77777777" w:rsidR="005550AE" w:rsidRDefault="005550AE" w:rsidP="005550AE">
      <w:pPr>
        <w:jc w:val="both"/>
      </w:pPr>
    </w:p>
    <w:p w14:paraId="100C5C81" w14:textId="77777777" w:rsidR="005550AE" w:rsidRDefault="005550AE" w:rsidP="005550AE">
      <w:pPr>
        <w:jc w:val="both"/>
      </w:pPr>
    </w:p>
    <w:p w14:paraId="164D6B1B" w14:textId="77777777" w:rsidR="005550AE" w:rsidRDefault="005550AE" w:rsidP="005550AE">
      <w:pPr>
        <w:jc w:val="both"/>
      </w:pPr>
    </w:p>
    <w:p w14:paraId="3DDD5B70" w14:textId="77777777" w:rsidR="005550AE" w:rsidRDefault="005550AE" w:rsidP="005550AE">
      <w:pPr>
        <w:jc w:val="both"/>
      </w:pPr>
    </w:p>
    <w:p w14:paraId="3EAA3CB1" w14:textId="77777777" w:rsidR="005550AE" w:rsidRDefault="005550AE" w:rsidP="005550AE">
      <w:pPr>
        <w:jc w:val="both"/>
      </w:pPr>
    </w:p>
    <w:p w14:paraId="39782A93" w14:textId="77777777" w:rsidR="005550AE" w:rsidRDefault="005550AE" w:rsidP="005550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jc w:val="center"/>
        <w:rPr>
          <w:b/>
          <w:bCs/>
          <w:color w:val="FFFFFF" w:themeColor="background1"/>
          <w:sz w:val="28"/>
          <w:szCs w:val="28"/>
        </w:rPr>
      </w:pPr>
      <w:r w:rsidRPr="00106C35">
        <w:rPr>
          <w:b/>
          <w:bCs/>
          <w:color w:val="FFFFFF" w:themeColor="background1"/>
          <w:sz w:val="28"/>
          <w:szCs w:val="28"/>
        </w:rPr>
        <w:t>SWOT ANALÝZA – MODERNÍ DIDAKTICKÉ FORMY VEDOUCÍ K ROZVOJI KLÍČOVÝCH KOMPETENCÍ</w:t>
      </w:r>
    </w:p>
    <w:p w14:paraId="2D3F0E5C" w14:textId="77777777" w:rsidR="00CE6512" w:rsidRDefault="00CE6512" w:rsidP="00CE6512"/>
    <w:p w14:paraId="6DB7120B" w14:textId="77777777" w:rsidR="00CE6512" w:rsidRDefault="00CE6512" w:rsidP="00CE6512"/>
    <w:p w14:paraId="5631B05C" w14:textId="6AD301E7" w:rsidR="00CE6512" w:rsidRDefault="00004E80" w:rsidP="00004E80">
      <w:pPr>
        <w:tabs>
          <w:tab w:val="left" w:pos="6547"/>
        </w:tabs>
      </w:pPr>
      <w:r>
        <w:tab/>
      </w:r>
    </w:p>
    <w:p w14:paraId="1710FEAD" w14:textId="77777777" w:rsidR="00CE6512" w:rsidRDefault="00CE6512" w:rsidP="00CE6512"/>
    <w:p w14:paraId="2D45BF73" w14:textId="4B47A851" w:rsidR="00CE6512" w:rsidRPr="00CE6512" w:rsidRDefault="00CE6512" w:rsidP="00733812">
      <w:pPr>
        <w:jc w:val="center"/>
      </w:pPr>
      <w:r w:rsidRPr="00CE6512">
        <w:t>Schváleno ŘV MAP ORP Louny IV formou per rollam ve dnech: 22.10. 2024 – 25.10.2024</w:t>
      </w:r>
    </w:p>
    <w:p w14:paraId="67CE7924" w14:textId="057D58A1" w:rsidR="00CE6512" w:rsidRPr="00CE6512" w:rsidRDefault="00CE6512" w:rsidP="00733812">
      <w:pPr>
        <w:ind w:left="1416"/>
        <w:jc w:val="center"/>
      </w:pPr>
    </w:p>
    <w:p w14:paraId="770A3629" w14:textId="34BDCA9E" w:rsidR="00CE6512" w:rsidRPr="00CE6512" w:rsidRDefault="00CE6512" w:rsidP="00733812">
      <w:pPr>
        <w:jc w:val="center"/>
      </w:pPr>
      <w:r w:rsidRPr="00CE6512">
        <w:t>Ing. Jan Mrvík, MBA</w:t>
      </w:r>
    </w:p>
    <w:p w14:paraId="5DCCCC29" w14:textId="77777777" w:rsidR="00CE6512" w:rsidRPr="00CE6512" w:rsidRDefault="00CE6512" w:rsidP="00733812">
      <w:pPr>
        <w:jc w:val="center"/>
      </w:pPr>
      <w:r w:rsidRPr="00CE6512">
        <w:t>Předseda Řídícího výboru MAP ORP Louny IV</w:t>
      </w:r>
    </w:p>
    <w:p w14:paraId="5FC89695" w14:textId="77777777" w:rsidR="00CE6512" w:rsidRDefault="00CE6512" w:rsidP="00CE6512">
      <w:pPr>
        <w:jc w:val="right"/>
        <w:rPr>
          <w:sz w:val="28"/>
          <w:szCs w:val="28"/>
        </w:rPr>
      </w:pPr>
    </w:p>
    <w:p w14:paraId="20B84307" w14:textId="77777777" w:rsidR="009E42CB" w:rsidRDefault="009E42CB" w:rsidP="00CE6512">
      <w:pPr>
        <w:jc w:val="right"/>
        <w:rPr>
          <w:sz w:val="28"/>
          <w:szCs w:val="28"/>
        </w:rPr>
      </w:pPr>
    </w:p>
    <w:p w14:paraId="352AD8E3" w14:textId="77777777" w:rsidR="009E42CB" w:rsidRDefault="009E42CB" w:rsidP="00CE6512">
      <w:pPr>
        <w:jc w:val="right"/>
        <w:rPr>
          <w:sz w:val="28"/>
          <w:szCs w:val="28"/>
        </w:rPr>
      </w:pPr>
    </w:p>
    <w:p w14:paraId="78E99799" w14:textId="77777777" w:rsidR="009E42CB" w:rsidRDefault="009E42CB" w:rsidP="00CE6512">
      <w:pPr>
        <w:jc w:val="right"/>
        <w:rPr>
          <w:sz w:val="28"/>
          <w:szCs w:val="28"/>
        </w:rPr>
      </w:pPr>
    </w:p>
    <w:p w14:paraId="59513874" w14:textId="77777777" w:rsidR="009E42CB" w:rsidRDefault="009E42CB" w:rsidP="00CE6512">
      <w:pPr>
        <w:jc w:val="right"/>
        <w:rPr>
          <w:sz w:val="28"/>
          <w:szCs w:val="28"/>
        </w:rPr>
      </w:pPr>
    </w:p>
    <w:p w14:paraId="5137F3EA" w14:textId="77777777" w:rsidR="009E42CB" w:rsidRDefault="009E42CB" w:rsidP="00CE6512">
      <w:pPr>
        <w:jc w:val="right"/>
        <w:rPr>
          <w:sz w:val="28"/>
          <w:szCs w:val="28"/>
        </w:rPr>
      </w:pPr>
    </w:p>
    <w:p w14:paraId="7AD0EA8A" w14:textId="77777777" w:rsidR="009E42CB" w:rsidRDefault="009E42CB" w:rsidP="00CE6512">
      <w:pPr>
        <w:jc w:val="right"/>
        <w:rPr>
          <w:sz w:val="28"/>
          <w:szCs w:val="28"/>
        </w:rPr>
      </w:pPr>
    </w:p>
    <w:p w14:paraId="386C341F" w14:textId="77777777" w:rsidR="009E42CB" w:rsidRDefault="009E42CB" w:rsidP="00CE6512">
      <w:pPr>
        <w:jc w:val="right"/>
        <w:rPr>
          <w:sz w:val="28"/>
          <w:szCs w:val="28"/>
        </w:rPr>
      </w:pPr>
    </w:p>
    <w:p w14:paraId="0639BBA1" w14:textId="77777777" w:rsidR="009E42CB" w:rsidRPr="00CE6512" w:rsidRDefault="009E42CB" w:rsidP="00CE6512">
      <w:pPr>
        <w:jc w:val="right"/>
        <w:rPr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="-714" w:tblpY="2197"/>
        <w:tblW w:w="10485" w:type="dxa"/>
        <w:tblLook w:val="04A0" w:firstRow="1" w:lastRow="0" w:firstColumn="1" w:lastColumn="0" w:noHBand="0" w:noVBand="1"/>
      </w:tblPr>
      <w:tblGrid>
        <w:gridCol w:w="5247"/>
        <w:gridCol w:w="5238"/>
      </w:tblGrid>
      <w:tr w:rsidR="005550AE" w:rsidRPr="001712EE" w14:paraId="57AC2F03" w14:textId="77777777" w:rsidTr="001C348A">
        <w:tc>
          <w:tcPr>
            <w:tcW w:w="5247" w:type="dxa"/>
            <w:shd w:val="clear" w:color="auto" w:fill="44546A" w:themeFill="text2"/>
          </w:tcPr>
          <w:p w14:paraId="3146E532" w14:textId="77777777" w:rsidR="005550AE" w:rsidRPr="002D62E0" w:rsidRDefault="005550AE" w:rsidP="001C348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D62E0">
              <w:rPr>
                <w:rFonts w:cstheme="minorHAnsi"/>
                <w:b/>
                <w:bCs/>
                <w:color w:val="FFFFFF" w:themeColor="background1"/>
              </w:rPr>
              <w:lastRenderedPageBreak/>
              <w:t>SILNÉ STRÁNKY</w:t>
            </w:r>
          </w:p>
        </w:tc>
        <w:tc>
          <w:tcPr>
            <w:tcW w:w="5238" w:type="dxa"/>
            <w:shd w:val="clear" w:color="auto" w:fill="44546A" w:themeFill="text2"/>
          </w:tcPr>
          <w:p w14:paraId="07D37E98" w14:textId="77777777" w:rsidR="005550AE" w:rsidRPr="002D62E0" w:rsidRDefault="005550AE" w:rsidP="001C348A">
            <w:pPr>
              <w:pStyle w:val="Odstavecseseznamem"/>
              <w:ind w:left="354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D62E0">
              <w:rPr>
                <w:rFonts w:cstheme="minorHAnsi"/>
                <w:b/>
                <w:bCs/>
                <w:color w:val="FFFFFF" w:themeColor="background1"/>
              </w:rPr>
              <w:t>SLABÉ STRÁNKY</w:t>
            </w:r>
          </w:p>
        </w:tc>
      </w:tr>
      <w:tr w:rsidR="005550AE" w:rsidRPr="001712EE" w14:paraId="6CD81D21" w14:textId="77777777" w:rsidTr="001C348A">
        <w:tc>
          <w:tcPr>
            <w:tcW w:w="5247" w:type="dxa"/>
          </w:tcPr>
          <w:p w14:paraId="03945CDC" w14:textId="77777777" w:rsidR="005550AE" w:rsidRPr="002C33B6" w:rsidRDefault="005550AE" w:rsidP="001C348A">
            <w:pPr>
              <w:jc w:val="both"/>
              <w:rPr>
                <w:rFonts w:cstheme="minorHAnsi"/>
              </w:rPr>
            </w:pPr>
          </w:p>
          <w:p w14:paraId="6DBB246F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Podpora vedení ZŠ a MŠ ORP Louny a motivace jejich PP ve škole k implementaci moderních metod a pomůcek do výuky </w:t>
            </w:r>
          </w:p>
          <w:p w14:paraId="3F719F3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Dostatečný počet kvalifikovaných PP (MG,ČG, cizí jazyk)</w:t>
            </w:r>
          </w:p>
          <w:p w14:paraId="04F632F0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Aktivní využívání dostupných technologií ve výuce (digitální nástroje, interaktivní tabule, aplikace, robotické pomůcky, multimediální prezentace) – nejvíce v oblastech výuky MG, ČG, IT, Cizí jazyk</w:t>
            </w:r>
          </w:p>
          <w:p w14:paraId="740CE3DF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Rozvoj využívání formy projektového vyučování MG, ČG, cizí jazyky, IT</w:t>
            </w:r>
          </w:p>
          <w:p w14:paraId="2D8ED52E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Rozvoj využívání her a simulací jako prostředku pro aktivní učení MG,ČG, Podnikavost</w:t>
            </w:r>
          </w:p>
          <w:p w14:paraId="5B95003B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Rozvoj realizace výuky mimo třídu (terénní výuky, exkurze, praktické zkušenosti)</w:t>
            </w:r>
          </w:p>
          <w:p w14:paraId="7E36ABF3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Rozvoj a podpora využívání skupinové práce, spolupráce mezi žáky ve výuce</w:t>
            </w:r>
          </w:p>
          <w:p w14:paraId="126F854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Individualizovaná výuka – přizpůsobení potřebám jednotlivých žáků</w:t>
            </w:r>
          </w:p>
          <w:p w14:paraId="5B590CAC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Aktivní postoj PP k </w:t>
            </w:r>
            <w:proofErr w:type="spellStart"/>
            <w:r w:rsidRPr="00E66016">
              <w:rPr>
                <w:kern w:val="0"/>
              </w:rPr>
              <w:t>samovzdělávání</w:t>
            </w:r>
            <w:proofErr w:type="spellEnd"/>
            <w:r w:rsidRPr="00E66016">
              <w:rPr>
                <w:kern w:val="0"/>
              </w:rPr>
              <w:t xml:space="preserve"> na podporu výuky </w:t>
            </w:r>
            <w:proofErr w:type="gramStart"/>
            <w:r w:rsidRPr="00E66016">
              <w:rPr>
                <w:kern w:val="0"/>
              </w:rPr>
              <w:t>gramotnosti  -</w:t>
            </w:r>
            <w:proofErr w:type="gramEnd"/>
            <w:r w:rsidRPr="00E66016">
              <w:rPr>
                <w:kern w:val="0"/>
              </w:rPr>
              <w:t xml:space="preserve"> ČG, MG, IT, cizí jazyk</w:t>
            </w:r>
          </w:p>
          <w:p w14:paraId="02480372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Účast ZŠ na soutěžích v MG</w:t>
            </w:r>
          </w:p>
          <w:p w14:paraId="1FB8E18A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Aktivita PP většiny ZŠ ve využívání moderních didaktických forem výuky MG, ČG, IT, Cizí jazyk</w:t>
            </w:r>
          </w:p>
          <w:p w14:paraId="12B13CA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Dostatečný počet kvalifikovaných PP – v oblastech MG, ČG, cizí jazyk</w:t>
            </w:r>
          </w:p>
          <w:p w14:paraId="3470DB7D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Účast pp na odborných seminářích v oblastech – MG, ČG, IT, Cizí jazyk</w:t>
            </w:r>
          </w:p>
          <w:p w14:paraId="68A117CF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Realizace doučování v MG, ČG pro slabší žáky</w:t>
            </w:r>
          </w:p>
          <w:p w14:paraId="071B5265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Realizace příprav žáků na SŠ</w:t>
            </w:r>
          </w:p>
          <w:p w14:paraId="3E349946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Využívání dotačních titulů na pořízení nových moderních pomůcek – zejména MG, ČG, IT</w:t>
            </w:r>
          </w:p>
          <w:p w14:paraId="02E8EF32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Využívání moderních didaktických pomůcek pro rozvoj předmatematické dovednosti u dětí MŠ</w:t>
            </w:r>
          </w:p>
          <w:p w14:paraId="3D2CFFB2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Realizace hravé formy rozvoje matematické </w:t>
            </w:r>
            <w:proofErr w:type="spellStart"/>
            <w:r w:rsidRPr="00E66016">
              <w:rPr>
                <w:kern w:val="0"/>
              </w:rPr>
              <w:t>pregramotnosti</w:t>
            </w:r>
            <w:proofErr w:type="spellEnd"/>
          </w:p>
          <w:p w14:paraId="025A21CB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Realizace výuky venku pro rozvoj předmatematické dovednosti u dětí MŠ</w:t>
            </w:r>
          </w:p>
          <w:p w14:paraId="56CF0FDC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Podpora skládání děje pomocí obrázků u dětí z MŠ</w:t>
            </w:r>
          </w:p>
          <w:p w14:paraId="60A03DB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Pravidelné čtení dětem</w:t>
            </w:r>
          </w:p>
          <w:p w14:paraId="7E6CA1AB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Podpora rozvoje slovní zásoby a vyjadřování u dětí v MŠ</w:t>
            </w:r>
          </w:p>
          <w:p w14:paraId="18437D75" w14:textId="6726B8AB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cstheme="minorHAnsi"/>
              </w:rPr>
            </w:pPr>
            <w:r w:rsidRPr="00E66016">
              <w:rPr>
                <w:kern w:val="0"/>
              </w:rPr>
              <w:t>Spolupráce s knihovnou – realizace akcí, výukové</w:t>
            </w:r>
            <w:r w:rsidRPr="00E66016">
              <w:rPr>
                <w:rFonts w:cstheme="minorHAnsi"/>
              </w:rPr>
              <w:t xml:space="preserve"> programy</w:t>
            </w:r>
          </w:p>
        </w:tc>
        <w:tc>
          <w:tcPr>
            <w:tcW w:w="5238" w:type="dxa"/>
          </w:tcPr>
          <w:p w14:paraId="70309DC9" w14:textId="77777777" w:rsidR="005550AE" w:rsidRDefault="005550AE" w:rsidP="001C348A">
            <w:pPr>
              <w:pStyle w:val="Odstavecseseznamem"/>
              <w:ind w:left="354"/>
              <w:rPr>
                <w:rFonts w:cstheme="minorHAnsi"/>
              </w:rPr>
            </w:pPr>
          </w:p>
          <w:p w14:paraId="14220F46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Nedostatek moderních didaktických pomůcek pro podporu výuky napříč gramotnostmi – především </w:t>
            </w:r>
            <w:proofErr w:type="spellStart"/>
            <w:r w:rsidRPr="00E66016">
              <w:rPr>
                <w:kern w:val="0"/>
              </w:rPr>
              <w:t>IT,polytechnika</w:t>
            </w:r>
            <w:proofErr w:type="spellEnd"/>
            <w:r w:rsidRPr="00E66016">
              <w:rPr>
                <w:kern w:val="0"/>
              </w:rPr>
              <w:t>, podnikavost</w:t>
            </w:r>
          </w:p>
          <w:p w14:paraId="79B0AF97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Využívání dotačních titulů k pořízení nových moderních pomůcek – cizí jazyk, polytechnika, podnikavost a kreativita</w:t>
            </w:r>
          </w:p>
          <w:p w14:paraId="0A4D38C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Náročnost na organizaci a plánování – projektové vyučování , efektivní řízení skupinové práce, spolupráce mezi žáky a jiné formy</w:t>
            </w:r>
          </w:p>
          <w:p w14:paraId="4F880D1F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Využívání moderních didaktických forem výuky v oblasti podnikavosti a polytechniky </w:t>
            </w:r>
          </w:p>
          <w:p w14:paraId="316C4E81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Nedostatek znalostí a dovedností </w:t>
            </w:r>
            <w:proofErr w:type="gramStart"/>
            <w:r w:rsidRPr="00E66016">
              <w:rPr>
                <w:kern w:val="0"/>
              </w:rPr>
              <w:t>učitelů - Proškolení</w:t>
            </w:r>
            <w:proofErr w:type="gramEnd"/>
            <w:r w:rsidRPr="00E66016">
              <w:rPr>
                <w:kern w:val="0"/>
              </w:rPr>
              <w:t xml:space="preserve"> PP např. na realizaci výuky formou projektového vyučování a dalších moderních forem výuky</w:t>
            </w:r>
          </w:p>
          <w:p w14:paraId="230C8873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Nedostatečně proškolení PP v oblasti využívání a zacházení s technologiemi ve výuce</w:t>
            </w:r>
          </w:p>
          <w:p w14:paraId="32DB789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Malá účast na soutěžích v oblasti IT, polytechnika, podnikavost</w:t>
            </w:r>
          </w:p>
          <w:p w14:paraId="28AE50BD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Školy nepořádají soutěže napříč gramotnostmi</w:t>
            </w:r>
          </w:p>
          <w:p w14:paraId="425C1D41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Málo realizovaných kroužků na školách</w:t>
            </w:r>
          </w:p>
          <w:p w14:paraId="62DB221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Čerpání inspirace a sdílení zkušeností s moderními metodami a pomůckami s ostatními PP z jiných základních škol</w:t>
            </w:r>
          </w:p>
          <w:p w14:paraId="0BB810F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Postoj PP k </w:t>
            </w:r>
            <w:proofErr w:type="spellStart"/>
            <w:r w:rsidRPr="00E66016">
              <w:rPr>
                <w:kern w:val="0"/>
              </w:rPr>
              <w:t>samovzdělávání</w:t>
            </w:r>
            <w:proofErr w:type="spellEnd"/>
            <w:r w:rsidRPr="00E66016">
              <w:rPr>
                <w:kern w:val="0"/>
              </w:rPr>
              <w:t xml:space="preserve"> na podporu výuky polytechniky, podnikavosti</w:t>
            </w:r>
          </w:p>
          <w:p w14:paraId="2F6FC58C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Účast PP na odborných seminářích pro podporu výuky polytechniky, podnikavosti</w:t>
            </w:r>
          </w:p>
          <w:p w14:paraId="6DFA6253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Zastarávání a opotřebení majetku a vybavení </w:t>
            </w:r>
          </w:p>
          <w:p w14:paraId="399AFB85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Společné akce, projekty na podporu gramotností mezi MŠ/MŠ, MŠ/ZŠ, ZŠ/ZŠ</w:t>
            </w:r>
          </w:p>
          <w:p w14:paraId="09AFF06A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Realizace sdílení zkušeností s ostatními PP z jiných MŠ </w:t>
            </w:r>
          </w:p>
          <w:p w14:paraId="3DA6D6D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Finanční prostředky na pořizování dalších nových pomůcek</w:t>
            </w:r>
          </w:p>
          <w:p w14:paraId="448CE91F" w14:textId="77777777" w:rsidR="005550AE" w:rsidRPr="001712EE" w:rsidRDefault="005550AE" w:rsidP="001C348A">
            <w:pPr>
              <w:pStyle w:val="Odstavecseseznamem"/>
              <w:ind w:left="354"/>
              <w:rPr>
                <w:rFonts w:cstheme="minorHAnsi"/>
              </w:rPr>
            </w:pPr>
          </w:p>
        </w:tc>
      </w:tr>
      <w:tr w:rsidR="005550AE" w:rsidRPr="001712EE" w14:paraId="1951FD20" w14:textId="77777777" w:rsidTr="001C348A">
        <w:trPr>
          <w:trHeight w:val="294"/>
        </w:trPr>
        <w:tc>
          <w:tcPr>
            <w:tcW w:w="5247" w:type="dxa"/>
            <w:shd w:val="clear" w:color="auto" w:fill="44546A" w:themeFill="text2"/>
          </w:tcPr>
          <w:p w14:paraId="39E27725" w14:textId="77777777" w:rsidR="005550AE" w:rsidRPr="002D62E0" w:rsidRDefault="005550AE" w:rsidP="001C348A">
            <w:pPr>
              <w:jc w:val="center"/>
              <w:rPr>
                <w:b/>
                <w:bCs/>
                <w:color w:val="FFFFFF" w:themeColor="background1"/>
              </w:rPr>
            </w:pPr>
            <w:r w:rsidRPr="002D62E0">
              <w:rPr>
                <w:b/>
                <w:bCs/>
                <w:color w:val="FFFFFF" w:themeColor="background1"/>
              </w:rPr>
              <w:lastRenderedPageBreak/>
              <w:t>PŘÍLEŽITOSTI</w:t>
            </w:r>
          </w:p>
        </w:tc>
        <w:tc>
          <w:tcPr>
            <w:tcW w:w="5238" w:type="dxa"/>
            <w:shd w:val="clear" w:color="auto" w:fill="44546A" w:themeFill="text2"/>
          </w:tcPr>
          <w:p w14:paraId="40019F88" w14:textId="77777777" w:rsidR="005550AE" w:rsidRPr="002D62E0" w:rsidRDefault="005550AE" w:rsidP="001C348A">
            <w:pPr>
              <w:jc w:val="center"/>
              <w:rPr>
                <w:b/>
                <w:bCs/>
                <w:color w:val="FFFFFF" w:themeColor="background1"/>
              </w:rPr>
            </w:pPr>
            <w:r w:rsidRPr="002D62E0">
              <w:rPr>
                <w:b/>
                <w:bCs/>
                <w:color w:val="FFFFFF" w:themeColor="background1"/>
              </w:rPr>
              <w:t>HROZBY</w:t>
            </w:r>
          </w:p>
        </w:tc>
      </w:tr>
      <w:tr w:rsidR="005550AE" w:rsidRPr="001712EE" w14:paraId="2CE02B65" w14:textId="77777777" w:rsidTr="001C348A">
        <w:tc>
          <w:tcPr>
            <w:tcW w:w="5247" w:type="dxa"/>
          </w:tcPr>
          <w:p w14:paraId="79686A7F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Využívání dotačních titulů na pořizování moderních pomůcek a vybavení napříč gramotnostmi</w:t>
            </w:r>
          </w:p>
          <w:p w14:paraId="35CA7AFB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Využívání širokého spektra nabízených kurzů a seminářů pro PP</w:t>
            </w:r>
          </w:p>
          <w:p w14:paraId="33DCB7F1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Zvyšování odborných dovedností a znalostí u PP pro využívání moderních didaktických forem vzdělávání a pomůcek napříč gramotnostmi (kvalitní cílené semináře, sdílení)</w:t>
            </w:r>
          </w:p>
          <w:p w14:paraId="35895A57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Rozvoj a využívání projektového učení a dalších moderních metod, které jsou pro žáky zajímavé a prakticky použitelné – zvyšuje zapojení žáků a jejich aktivní účast ve výuce</w:t>
            </w:r>
          </w:p>
          <w:p w14:paraId="715B8183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Realizace vzájemného sdílení mezi ZŠ, či MŠ k zavádění, využívání a rozvoji moderních metod a využívání pomůcek</w:t>
            </w:r>
          </w:p>
          <w:p w14:paraId="5E846A7C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Podpora navázání vztahů z místními a regionálními školami různých úrovní (společné diskuse, sdílení dobré praxe, akce pro jiné školy nebo s jinými školami apod.)</w:t>
            </w:r>
          </w:p>
          <w:p w14:paraId="18F6067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Podpora a prohlubování vztahů s ostatními aktéry ve vzdělávání – získávání nových perspektiv a metod od odborníků z praxe</w:t>
            </w:r>
          </w:p>
          <w:p w14:paraId="3162E0E4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Podpora využívání moderních metod s cílem inovovat výuku a přizpůsobit ji potřebám všech žáků</w:t>
            </w:r>
          </w:p>
          <w:p w14:paraId="395A669E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Rozšíření možností učení mimo tradiční učebny a umožnění žákům přístup k bohatším a interaktivnějším učebním zkušenostem</w:t>
            </w:r>
          </w:p>
          <w:p w14:paraId="5C1F826E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Rozvoj personalizovaného učení, které vede k efektivnějšímu a účinnějšímu vzdělávání a které lépe odpovídá individuálním potřebám a preferencím žáků</w:t>
            </w:r>
          </w:p>
          <w:p w14:paraId="3FDB974B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Podpora realizace kroužků, soutěží, projektů pro děti a žáky napříč gramotnostmi </w:t>
            </w:r>
          </w:p>
          <w:p w14:paraId="6647F036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Projekt MAP</w:t>
            </w:r>
          </w:p>
          <w:p w14:paraId="70D72AE5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Podpora a prohlubování vztahů s rodiči</w:t>
            </w:r>
          </w:p>
          <w:p w14:paraId="099586E2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Podpora dětí z </w:t>
            </w:r>
            <w:proofErr w:type="spellStart"/>
            <w:r w:rsidRPr="00E66016">
              <w:rPr>
                <w:kern w:val="0"/>
              </w:rPr>
              <w:t>marginalizovaných</w:t>
            </w:r>
            <w:proofErr w:type="spellEnd"/>
            <w:r w:rsidRPr="00E66016">
              <w:rPr>
                <w:kern w:val="0"/>
              </w:rPr>
              <w:t xml:space="preserve"> skupin a ze sociálně znevýhodněného prostředí</w:t>
            </w:r>
          </w:p>
          <w:p w14:paraId="486450F6" w14:textId="77777777" w:rsidR="005550AE" w:rsidRPr="00E66016" w:rsidRDefault="005550AE" w:rsidP="00E66016">
            <w:pPr>
              <w:pStyle w:val="Odstavecseseznamem"/>
              <w:widowControl w:val="0"/>
              <w:shd w:val="clear" w:color="auto" w:fill="FFFFFF" w:themeFill="background1"/>
              <w:spacing w:line="288" w:lineRule="auto"/>
              <w:ind w:left="284"/>
              <w:rPr>
                <w:kern w:val="0"/>
              </w:rPr>
            </w:pPr>
          </w:p>
          <w:p w14:paraId="4B82C46F" w14:textId="77777777" w:rsidR="005550AE" w:rsidRPr="001712EE" w:rsidRDefault="005550AE" w:rsidP="001C348A"/>
        </w:tc>
        <w:tc>
          <w:tcPr>
            <w:tcW w:w="5238" w:type="dxa"/>
          </w:tcPr>
          <w:p w14:paraId="72B6B2B5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Nedostatek financí – moderní didaktické </w:t>
            </w:r>
            <w:proofErr w:type="gramStart"/>
            <w:r w:rsidRPr="00E66016">
              <w:rPr>
                <w:kern w:val="0"/>
              </w:rPr>
              <w:t>formy  vyžadují</w:t>
            </w:r>
            <w:proofErr w:type="gramEnd"/>
            <w:r w:rsidRPr="00E66016">
              <w:rPr>
                <w:kern w:val="0"/>
              </w:rPr>
              <w:t xml:space="preserve"> neustále velké investice do technologií, školení a materiálů</w:t>
            </w:r>
          </w:p>
          <w:p w14:paraId="65F2C88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 xml:space="preserve">Časové možnosti k účasti na vzdělávacích aktivitách </w:t>
            </w:r>
          </w:p>
          <w:p w14:paraId="2E03F022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Možná obava některých PP, rodičů z nových moderních metod výuky</w:t>
            </w:r>
          </w:p>
          <w:p w14:paraId="68202350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Dlouhodobě podfinancována realizace inkluzivního vzdělávání</w:t>
            </w:r>
          </w:p>
          <w:p w14:paraId="33F7A189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Snižující se zájem žáků o vzdělávání (sociálně znevýhodněné prostředí)</w:t>
            </w:r>
          </w:p>
          <w:p w14:paraId="3DFCC6B5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Prohlubování digitální propasti mezi žáky, kteří mají snadný přístup k technologiím a těmi, kteří mají přístup omezený nebo žádný</w:t>
            </w:r>
          </w:p>
          <w:p w14:paraId="255FE19A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Malá podpora ze stran rodičů při rozvoji klíčových kompetencí dětí a žáků ze sociálně znevýhodněného prostředí</w:t>
            </w:r>
          </w:p>
          <w:p w14:paraId="6A5E8E3C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Nepředvídatelnost dalšího vývoje</w:t>
            </w:r>
          </w:p>
          <w:p w14:paraId="488383F7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Vyhoření PP</w:t>
            </w:r>
          </w:p>
          <w:p w14:paraId="786A715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Logopedie</w:t>
            </w:r>
          </w:p>
          <w:p w14:paraId="268B3C46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Zvyšující se počet dětí a žáků s potřebou podpůrných opatření</w:t>
            </w:r>
          </w:p>
          <w:p w14:paraId="46941448" w14:textId="77777777" w:rsidR="005550AE" w:rsidRPr="00E66016" w:rsidRDefault="005550AE" w:rsidP="00E66016">
            <w:pPr>
              <w:pStyle w:val="Odstavecseseznamem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88" w:lineRule="auto"/>
              <w:ind w:left="284" w:hanging="284"/>
              <w:rPr>
                <w:kern w:val="0"/>
              </w:rPr>
            </w:pPr>
            <w:r w:rsidRPr="00E66016">
              <w:rPr>
                <w:kern w:val="0"/>
              </w:rPr>
              <w:t>Nejistota, změna legislativy</w:t>
            </w:r>
          </w:p>
          <w:p w14:paraId="39DAF99B" w14:textId="77777777" w:rsidR="005550AE" w:rsidRPr="009F357E" w:rsidRDefault="005550AE" w:rsidP="001C348A">
            <w:pPr>
              <w:pStyle w:val="Odstavecseseznamem"/>
              <w:ind w:left="354"/>
            </w:pPr>
          </w:p>
          <w:p w14:paraId="20A674EB" w14:textId="77777777" w:rsidR="005550AE" w:rsidRPr="009F357E" w:rsidRDefault="005550AE" w:rsidP="001C348A">
            <w:pPr>
              <w:ind w:left="70"/>
            </w:pPr>
          </w:p>
        </w:tc>
      </w:tr>
    </w:tbl>
    <w:p w14:paraId="62EE8021" w14:textId="77777777" w:rsidR="00B475F6" w:rsidRDefault="00B475F6"/>
    <w:sectPr w:rsidR="00B47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2EC8" w14:textId="77777777" w:rsidR="005550AE" w:rsidRDefault="005550AE" w:rsidP="005550AE">
      <w:pPr>
        <w:spacing w:after="0" w:line="240" w:lineRule="auto"/>
      </w:pPr>
      <w:r>
        <w:separator/>
      </w:r>
    </w:p>
  </w:endnote>
  <w:endnote w:type="continuationSeparator" w:id="0">
    <w:p w14:paraId="20664348" w14:textId="77777777" w:rsidR="005550AE" w:rsidRDefault="005550AE" w:rsidP="0055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7725" w14:textId="77777777" w:rsidR="005550AE" w:rsidRDefault="005550AE" w:rsidP="005550AE">
    <w:pPr>
      <w:tabs>
        <w:tab w:val="center" w:pos="4536"/>
        <w:tab w:val="right" w:pos="9072"/>
      </w:tabs>
      <w:rPr>
        <w:rFonts w:ascii="Calibri" w:hAnsi="Calibri" w:cs="Calibri"/>
        <w:b/>
        <w:bCs/>
        <w:color w:val="000000" w:themeColor="text1"/>
        <w:u w:val="single"/>
      </w:rPr>
    </w:pPr>
  </w:p>
  <w:p w14:paraId="1938C591" w14:textId="4516A6CD" w:rsidR="005550AE" w:rsidRPr="005550AE" w:rsidRDefault="005550AE" w:rsidP="005550AE">
    <w:pPr>
      <w:tabs>
        <w:tab w:val="center" w:pos="4536"/>
        <w:tab w:val="right" w:pos="9072"/>
      </w:tabs>
      <w:jc w:val="center"/>
      <w:rPr>
        <w:rFonts w:ascii="Calibri" w:hAnsi="Calibri" w:cs="Calibri"/>
        <w:b/>
        <w:bCs/>
        <w:color w:val="000000" w:themeColor="text1"/>
        <w:u w:val="single"/>
      </w:rPr>
    </w:pPr>
    <w:r w:rsidRPr="005550AE">
      <w:rPr>
        <w:rFonts w:ascii="Calibri" w:hAnsi="Calibri" w:cs="Calibri"/>
        <w:b/>
        <w:bCs/>
        <w:color w:val="000000" w:themeColor="text1"/>
        <w:sz w:val="18"/>
        <w:szCs w:val="18"/>
        <w:u w:val="single"/>
      </w:rPr>
      <w:t>PROJEKT: MÍSTNÍ AKČNÍ PLÁN ROZVOJE VZDĚLÁVÁNÍ ORP LOUNY IV</w:t>
    </w:r>
  </w:p>
  <w:p w14:paraId="32000B5E" w14:textId="77777777" w:rsidR="005550AE" w:rsidRPr="005550AE" w:rsidRDefault="005550AE" w:rsidP="005550AE">
    <w:pPr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5550AE">
      <w:rPr>
        <w:rFonts w:ascii="Calibri" w:hAnsi="Calibri" w:cs="Calibri"/>
        <w:i/>
        <w:iCs/>
        <w:color w:val="000000" w:themeColor="text1"/>
        <w:sz w:val="18"/>
        <w:szCs w:val="18"/>
      </w:rPr>
      <w:t xml:space="preserve">Registrační číslo projektu: </w:t>
    </w:r>
    <w:r w:rsidRPr="005550AE">
      <w:rPr>
        <w:rFonts w:ascii="Calibri" w:hAnsi="Calibri" w:cs="Calibri" w:hint="eastAsia"/>
        <w:i/>
        <w:iCs/>
        <w:color w:val="000000" w:themeColor="text1"/>
        <w:sz w:val="18"/>
        <w:szCs w:val="18"/>
      </w:rPr>
      <w:t>CZ.02.02.04/00/23_017/0008326</w:t>
    </w:r>
  </w:p>
  <w:p w14:paraId="153F048A" w14:textId="77777777" w:rsidR="005550AE" w:rsidRDefault="00555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6C6A" w14:textId="77777777" w:rsidR="005550AE" w:rsidRDefault="005550AE" w:rsidP="005550AE">
      <w:pPr>
        <w:spacing w:after="0" w:line="240" w:lineRule="auto"/>
      </w:pPr>
      <w:r>
        <w:separator/>
      </w:r>
    </w:p>
  </w:footnote>
  <w:footnote w:type="continuationSeparator" w:id="0">
    <w:p w14:paraId="2AA45ADF" w14:textId="77777777" w:rsidR="005550AE" w:rsidRDefault="005550AE" w:rsidP="0055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AD21" w14:textId="3B093214" w:rsidR="005550AE" w:rsidRDefault="00004E80" w:rsidP="005550AE">
    <w:pPr>
      <w:pStyle w:val="Zhlav"/>
      <w:jc w:val="center"/>
    </w:pPr>
    <w:r>
      <w:rPr>
        <w:noProof/>
      </w:rPr>
      <w:drawing>
        <wp:inline distT="0" distB="0" distL="0" distR="0" wp14:anchorId="6D04D1D0" wp14:editId="6CF1F82B">
          <wp:extent cx="5113828" cy="729983"/>
          <wp:effectExtent l="0" t="0" r="0" b="0"/>
          <wp:docPr id="811916508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9011" cy="75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E433C" w14:textId="77777777" w:rsidR="005550AE" w:rsidRDefault="005550AE" w:rsidP="005550A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CC1"/>
    <w:multiLevelType w:val="hybridMultilevel"/>
    <w:tmpl w:val="9DEE5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3981"/>
    <w:multiLevelType w:val="hybridMultilevel"/>
    <w:tmpl w:val="4C7E0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48B5"/>
    <w:multiLevelType w:val="hybridMultilevel"/>
    <w:tmpl w:val="FECA3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A187A"/>
    <w:multiLevelType w:val="hybridMultilevel"/>
    <w:tmpl w:val="5002C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692348">
    <w:abstractNumId w:val="2"/>
  </w:num>
  <w:num w:numId="2" w16cid:durableId="411858552">
    <w:abstractNumId w:val="1"/>
  </w:num>
  <w:num w:numId="3" w16cid:durableId="2027445043">
    <w:abstractNumId w:val="0"/>
  </w:num>
  <w:num w:numId="4" w16cid:durableId="6751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AE"/>
    <w:rsid w:val="00004E80"/>
    <w:rsid w:val="00051789"/>
    <w:rsid w:val="00063B9C"/>
    <w:rsid w:val="00102B50"/>
    <w:rsid w:val="005550AE"/>
    <w:rsid w:val="0064325A"/>
    <w:rsid w:val="00733812"/>
    <w:rsid w:val="009E42CB"/>
    <w:rsid w:val="00AA215E"/>
    <w:rsid w:val="00AE0F39"/>
    <w:rsid w:val="00B475F6"/>
    <w:rsid w:val="00B5326A"/>
    <w:rsid w:val="00BC27F5"/>
    <w:rsid w:val="00CE6512"/>
    <w:rsid w:val="00E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9672E"/>
  <w15:chartTrackingRefBased/>
  <w15:docId w15:val="{01477F53-FA58-4AB3-9F75-A45A71B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0AE"/>
  </w:style>
  <w:style w:type="paragraph" w:styleId="Nadpis1">
    <w:name w:val="heading 1"/>
    <w:basedOn w:val="Normln"/>
    <w:next w:val="Normln"/>
    <w:link w:val="Nadpis1Char"/>
    <w:uiPriority w:val="9"/>
    <w:qFormat/>
    <w:rsid w:val="00555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5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5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5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5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5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5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50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50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50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50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50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0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5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5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5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50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50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50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50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50A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5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0AE"/>
  </w:style>
  <w:style w:type="paragraph" w:styleId="Zpat">
    <w:name w:val="footer"/>
    <w:basedOn w:val="Normln"/>
    <w:link w:val="ZpatChar"/>
    <w:uiPriority w:val="99"/>
    <w:unhideWhenUsed/>
    <w:rsid w:val="0055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0AE"/>
  </w:style>
  <w:style w:type="table" w:styleId="Mkatabulky">
    <w:name w:val="Table Grid"/>
    <w:basedOn w:val="Normlntabulka"/>
    <w:uiPriority w:val="39"/>
    <w:rsid w:val="0055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796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7</cp:revision>
  <dcterms:created xsi:type="dcterms:W3CDTF">2024-10-14T14:08:00Z</dcterms:created>
  <dcterms:modified xsi:type="dcterms:W3CDTF">2024-10-14T14:47:00Z</dcterms:modified>
</cp:coreProperties>
</file>