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9ED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Toc94549913"/>
      <w:bookmarkStart w:id="1" w:name="_Toc99392838"/>
    </w:p>
    <w:p w14:paraId="7508EFD9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07E938BF" w14:textId="77777777" w:rsidR="006A015B" w:rsidRDefault="006A015B" w:rsidP="006A015B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833CBAA" w14:textId="77777777" w:rsidR="006A015B" w:rsidRPr="00780143" w:rsidRDefault="006A015B" w:rsidP="006A015B">
      <w:pPr>
        <w:rPr>
          <w:b/>
          <w:bCs/>
          <w:color w:val="323E4F" w:themeColor="text2" w:themeShade="BF"/>
          <w:sz w:val="28"/>
          <w:szCs w:val="28"/>
        </w:rPr>
      </w:pPr>
    </w:p>
    <w:p w14:paraId="3565240E" w14:textId="4E7BD1EB" w:rsidR="0089011A" w:rsidRPr="0089011A" w:rsidRDefault="0089011A" w:rsidP="0089011A">
      <w:pPr>
        <w:jc w:val="center"/>
        <w:rPr>
          <w:b/>
          <w:bCs/>
          <w:color w:val="000000" w:themeColor="text1"/>
          <w:sz w:val="40"/>
          <w:szCs w:val="40"/>
        </w:rPr>
      </w:pPr>
      <w:r w:rsidRPr="0089011A">
        <w:rPr>
          <w:b/>
          <w:bCs/>
          <w:color w:val="000000" w:themeColor="text1"/>
          <w:sz w:val="40"/>
          <w:szCs w:val="40"/>
        </w:rPr>
        <w:t xml:space="preserve">REVIZE - </w:t>
      </w:r>
      <w:r w:rsidR="006A015B" w:rsidRPr="0089011A">
        <w:rPr>
          <w:b/>
          <w:bCs/>
          <w:color w:val="000000" w:themeColor="text1"/>
          <w:sz w:val="40"/>
          <w:szCs w:val="40"/>
        </w:rPr>
        <w:t xml:space="preserve">SWOT ANALÝZ V OSTATNÍCH TÉMATECH </w:t>
      </w:r>
    </w:p>
    <w:p w14:paraId="1BB575DA" w14:textId="57EFDFC6" w:rsidR="006A015B" w:rsidRPr="0089011A" w:rsidRDefault="001A546B" w:rsidP="006A015B">
      <w:pPr>
        <w:jc w:val="center"/>
        <w:rPr>
          <w:b/>
          <w:bCs/>
          <w:color w:val="000000" w:themeColor="text1"/>
          <w:sz w:val="40"/>
          <w:szCs w:val="40"/>
        </w:rPr>
      </w:pPr>
      <w:r w:rsidRPr="0089011A">
        <w:rPr>
          <w:b/>
          <w:bCs/>
          <w:color w:val="000000" w:themeColor="text1"/>
          <w:sz w:val="40"/>
          <w:szCs w:val="40"/>
        </w:rPr>
        <w:t>pro</w:t>
      </w:r>
    </w:p>
    <w:p w14:paraId="3AED87B0" w14:textId="560EA54F" w:rsidR="006A015B" w:rsidRPr="0089011A" w:rsidRDefault="006A015B" w:rsidP="006A015B">
      <w:pPr>
        <w:jc w:val="center"/>
        <w:rPr>
          <w:b/>
          <w:bCs/>
          <w:color w:val="000000" w:themeColor="text1"/>
          <w:sz w:val="40"/>
          <w:szCs w:val="40"/>
        </w:rPr>
      </w:pPr>
      <w:r w:rsidRPr="0089011A">
        <w:rPr>
          <w:b/>
          <w:bCs/>
          <w:color w:val="000000" w:themeColor="text1"/>
          <w:sz w:val="40"/>
          <w:szCs w:val="40"/>
        </w:rPr>
        <w:t>MATEŘSKÉ ŠKOLY</w:t>
      </w:r>
    </w:p>
    <w:p w14:paraId="3EF052CC" w14:textId="7C6E1BB1" w:rsidR="006A015B" w:rsidRP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3469C" wp14:editId="7FF74C80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41972" w14:textId="40E0E49F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</w:p>
    <w:p w14:paraId="741012FD" w14:textId="45EBFBA7" w:rsidR="006A015B" w:rsidRDefault="006A015B" w:rsidP="006A015B">
      <w:pPr>
        <w:pStyle w:val="Nadpis4"/>
        <w:numPr>
          <w:ilvl w:val="0"/>
          <w:numId w:val="0"/>
        </w:numPr>
        <w:ind w:left="864"/>
        <w:rPr>
          <w:color w:val="2F5496" w:themeColor="accent1" w:themeShade="BF"/>
        </w:rPr>
      </w:pPr>
    </w:p>
    <w:p w14:paraId="7AC2A647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65FEB9B9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2E59AAAC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1EF830C7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27E73E60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4B709900" w14:textId="77777777" w:rsidR="006A015B" w:rsidRDefault="006A015B" w:rsidP="006A015B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</w:p>
    <w:p w14:paraId="4D44BF18" w14:textId="6163C765" w:rsidR="006A015B" w:rsidRDefault="006A015B" w:rsidP="006A015B"/>
    <w:p w14:paraId="4BE55910" w14:textId="38969FD1" w:rsidR="006A015B" w:rsidRDefault="006A015B" w:rsidP="006A015B"/>
    <w:p w14:paraId="6ACF2D6C" w14:textId="77777777" w:rsidR="006A015B" w:rsidRPr="006A015B" w:rsidRDefault="006A015B" w:rsidP="006A015B">
      <w:pPr>
        <w:rPr>
          <w:rFonts w:asciiTheme="minorHAnsi" w:eastAsia="Arial" w:hAnsiTheme="minorHAnsi" w:cstheme="minorHAnsi"/>
          <w:b/>
          <w:bCs/>
          <w:noProof/>
          <w:lang w:eastAsia="cs-CZ"/>
        </w:rPr>
      </w:pPr>
      <w:bookmarkStart w:id="2" w:name="_Hlk130375816"/>
      <w:r w:rsidRPr="006A015B">
        <w:rPr>
          <w:rFonts w:asciiTheme="minorHAnsi" w:eastAsia="Arial" w:hAnsiTheme="minorHAnsi" w:cstheme="minorHAnsi"/>
          <w:b/>
          <w:bCs/>
          <w:noProof/>
          <w:lang w:eastAsia="cs-CZ"/>
        </w:rPr>
        <w:t>Realizátor:</w:t>
      </w:r>
    </w:p>
    <w:p w14:paraId="290E7495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SERVISO, o.p.s.</w:t>
      </w:r>
    </w:p>
    <w:p w14:paraId="2A9B44C8" w14:textId="77777777" w:rsidR="006A015B" w:rsidRPr="006A015B" w:rsidRDefault="006A015B" w:rsidP="006A015B">
      <w:pPr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eastAsia="cs-CZ"/>
        </w:rPr>
      </w:pPr>
    </w:p>
    <w:p w14:paraId="21AA7F87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Autoři: Realizační tým MAP III</w:t>
      </w:r>
    </w:p>
    <w:p w14:paraId="24EB33D6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</w:p>
    <w:p w14:paraId="6E3071C1" w14:textId="77777777" w:rsidR="006A015B" w:rsidRPr="006A015B" w:rsidRDefault="006A015B" w:rsidP="006A015B">
      <w:pPr>
        <w:rPr>
          <w:rFonts w:asciiTheme="minorHAnsi" w:eastAsia="Arial" w:hAnsiTheme="minorHAnsi" w:cstheme="minorHAnsi"/>
          <w:noProof/>
          <w:lang w:eastAsia="cs-CZ"/>
        </w:rPr>
      </w:pPr>
      <w:r w:rsidRPr="006A015B">
        <w:rPr>
          <w:rFonts w:asciiTheme="minorHAnsi" w:eastAsia="Arial" w:hAnsiTheme="minorHAnsi" w:cstheme="minorHAnsi"/>
          <w:noProof/>
          <w:lang w:eastAsia="cs-CZ"/>
        </w:rPr>
        <w:t>Kontakt: Ing. Alena Pospíšilová</w:t>
      </w:r>
    </w:p>
    <w:p w14:paraId="5F64F4C7" w14:textId="0853AD09" w:rsidR="0089011A" w:rsidRDefault="00000000" w:rsidP="0089011A">
      <w:pPr>
        <w:rPr>
          <w:rFonts w:asciiTheme="minorHAnsi" w:eastAsia="Arial" w:hAnsiTheme="minorHAnsi" w:cstheme="minorHAnsi"/>
          <w:noProof/>
          <w:lang w:eastAsia="cs-CZ"/>
        </w:rPr>
      </w:pPr>
      <w:hyperlink r:id="rId8" w:history="1">
        <w:r w:rsidR="006A015B" w:rsidRPr="006A015B">
          <w:rPr>
            <w:rFonts w:asciiTheme="minorHAnsi" w:eastAsia="Arial" w:hAnsiTheme="minorHAnsi" w:cstheme="minorHAnsi"/>
            <w:noProof/>
            <w:color w:val="0563C1" w:themeColor="hyperlink"/>
            <w:u w:val="single"/>
            <w:lang w:eastAsia="cs-CZ"/>
          </w:rPr>
          <w:t>pospisilovamapii@seznam.cz</w:t>
        </w:r>
      </w:hyperlink>
      <w:r w:rsidR="006A015B" w:rsidRPr="006A015B">
        <w:rPr>
          <w:rFonts w:asciiTheme="minorHAnsi" w:eastAsia="Arial" w:hAnsiTheme="minorHAnsi" w:cstheme="minorHAnsi"/>
          <w:noProof/>
          <w:lang w:eastAsia="cs-CZ"/>
        </w:rPr>
        <w:t>, 777 816</w:t>
      </w:r>
      <w:r w:rsidR="00093417">
        <w:rPr>
          <w:rFonts w:asciiTheme="minorHAnsi" w:eastAsia="Arial" w:hAnsiTheme="minorHAnsi" w:cstheme="minorHAnsi"/>
          <w:noProof/>
          <w:lang w:eastAsia="cs-CZ"/>
        </w:rPr>
        <w:t> </w:t>
      </w:r>
      <w:r w:rsidR="006A015B" w:rsidRPr="006A015B">
        <w:rPr>
          <w:rFonts w:asciiTheme="minorHAnsi" w:eastAsia="Arial" w:hAnsiTheme="minorHAnsi" w:cstheme="minorHAnsi"/>
          <w:noProof/>
          <w:lang w:eastAsia="cs-CZ"/>
        </w:rPr>
        <w:t>537</w:t>
      </w:r>
      <w:bookmarkEnd w:id="2"/>
    </w:p>
    <w:p w14:paraId="42A0EAE6" w14:textId="77777777" w:rsidR="00093417" w:rsidRDefault="00093417" w:rsidP="0089011A">
      <w:pPr>
        <w:rPr>
          <w:rFonts w:asciiTheme="minorHAnsi" w:eastAsia="Arial" w:hAnsiTheme="minorHAnsi" w:cstheme="minorHAnsi"/>
          <w:noProof/>
          <w:lang w:eastAsia="cs-CZ"/>
        </w:rPr>
      </w:pPr>
    </w:p>
    <w:p w14:paraId="6B885EC0" w14:textId="77777777" w:rsidR="00093417" w:rsidRPr="0089011A" w:rsidRDefault="00093417" w:rsidP="0089011A">
      <w:pPr>
        <w:rPr>
          <w:rFonts w:asciiTheme="minorHAnsi" w:eastAsia="Arial" w:hAnsiTheme="minorHAnsi" w:cstheme="minorHAnsi"/>
          <w:noProof/>
          <w:lang w:eastAsia="cs-CZ"/>
        </w:rPr>
      </w:pPr>
    </w:p>
    <w:p w14:paraId="5CD8BA83" w14:textId="60AC5878" w:rsidR="00381DCE" w:rsidRPr="00780143" w:rsidRDefault="006A015B" w:rsidP="00780143">
      <w:pPr>
        <w:pStyle w:val="Nadpis4"/>
        <w:numPr>
          <w:ilvl w:val="0"/>
          <w:numId w:val="0"/>
        </w:numPr>
        <w:jc w:val="center"/>
        <w:rPr>
          <w:color w:val="323E4F" w:themeColor="text2" w:themeShade="BF"/>
        </w:rPr>
      </w:pPr>
      <w:r w:rsidRPr="00780143">
        <w:rPr>
          <w:color w:val="323E4F" w:themeColor="text2" w:themeShade="BF"/>
        </w:rPr>
        <w:lastRenderedPageBreak/>
        <w:t>1.</w:t>
      </w:r>
      <w:r w:rsidR="00381DCE" w:rsidRPr="00780143">
        <w:rPr>
          <w:color w:val="323E4F" w:themeColor="text2" w:themeShade="BF"/>
        </w:rPr>
        <w:t>Podpora inkluzivního/společného vzdělávání na MŠ</w:t>
      </w:r>
      <w:bookmarkEnd w:id="0"/>
      <w:bookmarkEnd w:id="1"/>
    </w:p>
    <w:tbl>
      <w:tblPr>
        <w:tblStyle w:val="Mkatabulky1"/>
        <w:tblpPr w:leftFromText="141" w:rightFromText="141" w:vertAnchor="text" w:horzAnchor="margin" w:tblpXSpec="center" w:tblpY="130"/>
        <w:tblW w:w="11477" w:type="dxa"/>
        <w:tblLook w:val="04A0" w:firstRow="1" w:lastRow="0" w:firstColumn="1" w:lastColumn="0" w:noHBand="0" w:noVBand="1"/>
      </w:tblPr>
      <w:tblGrid>
        <w:gridCol w:w="5954"/>
        <w:gridCol w:w="5523"/>
      </w:tblGrid>
      <w:tr w:rsidR="00780143" w:rsidRPr="0089011A" w14:paraId="17059DA9" w14:textId="77777777" w:rsidTr="0089011A">
        <w:tc>
          <w:tcPr>
            <w:tcW w:w="5954" w:type="dxa"/>
            <w:shd w:val="clear" w:color="auto" w:fill="323E4F" w:themeFill="text2" w:themeFillShade="BF"/>
            <w:vAlign w:val="center"/>
          </w:tcPr>
          <w:p w14:paraId="78B2093A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bookmarkStart w:id="3" w:name="_Toc45119533"/>
            <w:bookmarkStart w:id="4" w:name="_Toc94549920"/>
            <w:bookmarkStart w:id="5" w:name="_Toc99392845"/>
            <w:r w:rsidRPr="0089011A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523" w:type="dxa"/>
            <w:shd w:val="clear" w:color="auto" w:fill="323E4F" w:themeFill="text2" w:themeFillShade="BF"/>
            <w:vAlign w:val="center"/>
          </w:tcPr>
          <w:p w14:paraId="6118FF43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Slabé stránky</w:t>
            </w:r>
          </w:p>
        </w:tc>
      </w:tr>
      <w:tr w:rsidR="00780143" w:rsidRPr="0089011A" w14:paraId="734CFB84" w14:textId="77777777" w:rsidTr="0089011A"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E1A96" w14:textId="7F624E41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shd w:val="clear" w:color="auto" w:fill="FFFFFF" w:themeFill="background1"/>
              </w:rPr>
              <w:t>MŠ</w:t>
            </w:r>
            <w:r w:rsidRPr="0089011A">
              <w:t xml:space="preserve"> kladou důraz nejen na budování vlastního úspěchu dítěte, ale i na odbourávání bariér mezi lidmi, vedou k sounáležitosti s ostatními dětmi a dalšími lidmi apod.;</w:t>
            </w:r>
          </w:p>
          <w:p w14:paraId="79CEBD30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MŠ u</w:t>
            </w:r>
            <w:r w:rsidRPr="0089011A">
              <w:rPr>
                <w:color w:val="000000"/>
              </w:rPr>
              <w:t>čí všechny děti uvědomovat si práva a povinnosti (vina, trest, spravedlnost, Úmluva o právech dítěte apod.)</w:t>
            </w:r>
            <w:r w:rsidRPr="0089011A">
              <w:t>;</w:t>
            </w:r>
          </w:p>
          <w:p w14:paraId="0B3CCC55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Pedag</w:t>
            </w:r>
            <w:r w:rsidRPr="0089011A">
              <w:rPr>
                <w:color w:val="000000"/>
              </w:rPr>
              <w:t>ogové spolupracují při naplňování vzdělávacích potřeb dětí (např. společnými poradami týkajícími se vzdělávání těchto dětí apod.)</w:t>
            </w:r>
            <w:r w:rsidRPr="0089011A">
              <w:t>;</w:t>
            </w:r>
          </w:p>
          <w:p w14:paraId="36778FF4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Pedago</w:t>
            </w:r>
            <w:r w:rsidRPr="0089011A">
              <w:rPr>
                <w:color w:val="000000"/>
              </w:rPr>
              <w:t>gové školy jsou schopni vhodně přizpůsobit obsah vzdělávání, upravit formy a metody vzdělávání a nastavit různé úrovně obtížnosti v souladu se specifiky a potřebami dětí tak, aby bylo dosaženo a využito maximálních možností vzdělávaného dítěte</w:t>
            </w:r>
            <w:r w:rsidRPr="0089011A">
              <w:t>;</w:t>
            </w:r>
          </w:p>
          <w:p w14:paraId="23DA4A86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MŠ podporují bezproblémový přechod všech dětí bez rozdílu</w:t>
            </w:r>
            <w:r w:rsidRPr="0089011A">
              <w:rPr>
                <w:color w:val="000000"/>
              </w:rPr>
              <w:t xml:space="preserve"> na ZŠ</w:t>
            </w:r>
            <w:r w:rsidRPr="0089011A">
              <w:t>;</w:t>
            </w:r>
          </w:p>
          <w:p w14:paraId="0869CA14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Učitelé realizují</w:t>
            </w:r>
            <w:r w:rsidRPr="0089011A">
              <w:rPr>
                <w:color w:val="000000"/>
              </w:rPr>
              <w:t xml:space="preserve"> pedagogickou diagnostiku dětí, vyhodnocují její výsledky a v souladu s nimi volí formy a metody výuky, resp. kroky další péče o děti</w:t>
            </w:r>
            <w:r w:rsidRPr="0089011A">
              <w:t>;</w:t>
            </w:r>
          </w:p>
          <w:p w14:paraId="5D7A1B1C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 xml:space="preserve">Pedagogové využívají v komunikaci s dítětem </w:t>
            </w:r>
            <w:r w:rsidRPr="0089011A">
              <w:rPr>
                <w:color w:val="000000"/>
                <w:shd w:val="clear" w:color="auto" w:fill="FFFFFF" w:themeFill="background1"/>
              </w:rPr>
              <w:t>popis</w:t>
            </w:r>
            <w:r w:rsidRPr="0089011A">
              <w:rPr>
                <w:color w:val="000000"/>
              </w:rPr>
              <w:t>nou slovní zpětnou vazbu, vytvářejí prostor k sebehodnocení dítěte a k rozvoji jeho motivace ke vzdělávání.</w:t>
            </w:r>
          </w:p>
          <w:p w14:paraId="306EE3B4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Učitelé vním</w:t>
            </w:r>
            <w:r w:rsidRPr="0089011A">
              <w:rPr>
                <w:color w:val="000000"/>
              </w:rPr>
              <w:t>ají tvořivým způsobem rozdíly mezi dětmi jako zdroj zkušeností a příležitost k vlastnímu seberozvoji</w:t>
            </w:r>
            <w:r w:rsidRPr="0089011A">
              <w:t>;</w:t>
            </w:r>
          </w:p>
          <w:p w14:paraId="292244C3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  <w:shd w:val="clear" w:color="auto" w:fill="FFFFFF" w:themeFill="background1"/>
              </w:rPr>
              <w:t>MŠ u</w:t>
            </w:r>
            <w:r w:rsidRPr="0089011A">
              <w:rPr>
                <w:color w:val="000000"/>
              </w:rPr>
              <w:t>mí komunikovat s dětmi, rodiči i pedagogy, vnímají jejich potřeby a systematicky rozvíjí školní kulturu, bezpečné a otevřené klima školy</w:t>
            </w:r>
            <w:r w:rsidRPr="0089011A">
              <w:t>;</w:t>
            </w:r>
          </w:p>
          <w:p w14:paraId="22B4B48C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rFonts w:eastAsia="Times New Roman" w:cs="Calibri"/>
                <w:color w:val="000000"/>
                <w:shd w:val="clear" w:color="auto" w:fill="FFFFFF" w:themeFill="background1"/>
                <w:lang w:eastAsia="cs-CZ"/>
              </w:rPr>
              <w:t xml:space="preserve">MŠ speciální se zabývá individuálními zvláštnostmi dětí, vzdělávání dětí se speciálními vzdělávacími potřebami, personál kvalifikovaný, budova je vybavena pomůckami, dětem jsou poskytovány speciální aktivity, </w:t>
            </w:r>
            <w:r w:rsidRPr="0089011A">
              <w:rPr>
                <w:rFonts w:eastAsia="Times New Roman" w:cs="Calibri"/>
                <w:color w:val="000000"/>
                <w:shd w:val="clear" w:color="auto" w:fill="FFFFFF" w:themeFill="background1"/>
                <w:lang w:eastAsia="cs-CZ"/>
              </w:rPr>
              <w:br/>
              <w:t>s rodiči se denně komunikuje, je zde oboustranná plná důvěra, spolupráce s SPC.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97F322F" w14:textId="335C624E" w:rsidR="00780143" w:rsidRPr="0089011A" w:rsidRDefault="0089011A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>
              <w:t>Některé MŠ stále</w:t>
            </w:r>
            <w:r w:rsidR="00780143" w:rsidRPr="0089011A">
              <w:t xml:space="preserve"> nejsou bezbariérové (jedná se </w:t>
            </w:r>
            <w:r w:rsidR="00780143" w:rsidRPr="0089011A">
              <w:br/>
              <w:t xml:space="preserve">o bezbariérovost jak vnější, tj. zpřístupnění školy, tak i vnitřní, tj. přizpůsobení a vybavení učeben </w:t>
            </w:r>
            <w:r w:rsidR="00780143" w:rsidRPr="0089011A">
              <w:br/>
              <w:t xml:space="preserve">a dalších prostorů školy); </w:t>
            </w:r>
          </w:p>
          <w:p w14:paraId="6FB4E7F3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Chybí bezbariérovost v budově školy, chybí menší pracovny, které už nelze nikde vybudovat, chybí finance na asistenty pedagoga)</w:t>
            </w:r>
          </w:p>
          <w:p w14:paraId="0A333BEF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MŠ neposkytují výuku českého jazyka pro cizince;</w:t>
            </w:r>
          </w:p>
          <w:p w14:paraId="6A8EED9A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Některé MŠ stále nemají vytvořený dostatečný systém podpory pro děti se SVP (nejsou vybaveny kompenzačními/ speciálními pomůckami, nevyužívají služeb asistenta pedagoga atd.).</w:t>
            </w:r>
          </w:p>
          <w:p w14:paraId="083E2C7A" w14:textId="77777777" w:rsidR="00780143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MŠ dostatečně nezajišťují dětem se SVP účast na aktivitách nad rámec školní práce, které směřují k rozvoji dovedností, schopností a postojů dítěte.</w:t>
            </w:r>
          </w:p>
          <w:p w14:paraId="16B511E7" w14:textId="585CE8F8" w:rsidR="0089011A" w:rsidRDefault="0089011A" w:rsidP="0089011A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 xml:space="preserve">Chybí pedagog </w:t>
            </w:r>
            <w:r>
              <w:rPr>
                <w:color w:val="000000"/>
              </w:rPr>
              <w:t xml:space="preserve">, odborníci </w:t>
            </w:r>
            <w:r w:rsidRPr="0089011A">
              <w:rPr>
                <w:color w:val="000000"/>
              </w:rPr>
              <w:t>na logopedii.</w:t>
            </w:r>
          </w:p>
          <w:p w14:paraId="543CFDA4" w14:textId="26A2FCFD" w:rsidR="00780143" w:rsidRPr="0089011A" w:rsidRDefault="0089011A" w:rsidP="0089011A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Časté vady řeči u dětí</w:t>
            </w:r>
          </w:p>
          <w:p w14:paraId="42DB54B2" w14:textId="77777777" w:rsidR="00780143" w:rsidRPr="0089011A" w:rsidRDefault="00780143" w:rsidP="00780143"/>
        </w:tc>
      </w:tr>
      <w:tr w:rsidR="00780143" w:rsidRPr="0089011A" w14:paraId="679D4F61" w14:textId="77777777" w:rsidTr="0089011A">
        <w:tc>
          <w:tcPr>
            <w:tcW w:w="5954" w:type="dxa"/>
            <w:shd w:val="clear" w:color="auto" w:fill="323E4F" w:themeFill="text2" w:themeFillShade="BF"/>
          </w:tcPr>
          <w:p w14:paraId="6B59E266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523" w:type="dxa"/>
            <w:shd w:val="clear" w:color="auto" w:fill="323E4F" w:themeFill="text2" w:themeFillShade="BF"/>
          </w:tcPr>
          <w:p w14:paraId="724F4F2C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Hrozby</w:t>
            </w:r>
          </w:p>
        </w:tc>
      </w:tr>
      <w:tr w:rsidR="00780143" w:rsidRPr="0089011A" w14:paraId="197CBC2C" w14:textId="77777777" w:rsidTr="0089011A">
        <w:tc>
          <w:tcPr>
            <w:tcW w:w="5954" w:type="dxa"/>
          </w:tcPr>
          <w:p w14:paraId="18FB3AF2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t>Podpora navázání vztahů s místními a regionálními školami různých úrovní (společné diskuze, sdílení dobré praxe, akce pro jiné školy nebo s jinými školami apod.);</w:t>
            </w:r>
          </w:p>
          <w:p w14:paraId="79110F4E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t>MŠ chtějí podpořit úpravu organizace a průběh vzdělávání v souladu s potřebami dětí se SVP;</w:t>
            </w:r>
          </w:p>
          <w:p w14:paraId="1E8528C9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t xml:space="preserve">MŠ chtějí dále systematicky rozvíjet školní kulturu, bezpečné a otevřené klima školy, komunikaci s dětmi rodiči a pedagogy. </w:t>
            </w:r>
          </w:p>
          <w:p w14:paraId="757A6DD3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t>Podpora dalšího vzdělávání pedagogů zaměřené na SVP</w:t>
            </w:r>
          </w:p>
          <w:p w14:paraId="74D42A71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t>Pedagogové budou podporovat a rozvíjet oblast využívání speciálních pomůcek i kompenzačních pomůcek.</w:t>
            </w:r>
          </w:p>
          <w:p w14:paraId="0A6D1562" w14:textId="77777777" w:rsidR="00780143" w:rsidRPr="0089011A" w:rsidRDefault="00780143" w:rsidP="00780143">
            <w:pPr>
              <w:ind w:left="720"/>
              <w:contextualSpacing/>
              <w:jc w:val="both"/>
            </w:pPr>
          </w:p>
          <w:p w14:paraId="15DA0C79" w14:textId="77777777" w:rsidR="00780143" w:rsidRPr="0089011A" w:rsidRDefault="00780143" w:rsidP="00780143">
            <w:pPr>
              <w:ind w:left="720"/>
              <w:contextualSpacing/>
              <w:jc w:val="both"/>
            </w:pPr>
          </w:p>
        </w:tc>
        <w:tc>
          <w:tcPr>
            <w:tcW w:w="5523" w:type="dxa"/>
          </w:tcPr>
          <w:p w14:paraId="691D3673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 xml:space="preserve">Nedostatečné finanční zajištění personálních nákladů na práci s heterogenními skupinami žáků (např. asistentů pedagoga, pedagogické </w:t>
            </w:r>
            <w:r w:rsidRPr="0089011A">
              <w:rPr>
                <w:color w:val="000000"/>
              </w:rPr>
              <w:br/>
              <w:t>i nepedagogické pracovníky)</w:t>
            </w:r>
            <w:r w:rsidRPr="0089011A">
              <w:t>;</w:t>
            </w:r>
          </w:p>
          <w:p w14:paraId="20BED855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Technická nemožnost bezbariérových úprav škol</w:t>
            </w:r>
            <w:r w:rsidRPr="0089011A">
              <w:t>;</w:t>
            </w:r>
          </w:p>
          <w:p w14:paraId="547E06B3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 xml:space="preserve">Řešení průběžných oprav budov (nečekat </w:t>
            </w:r>
            <w:r w:rsidRPr="0089011A">
              <w:rPr>
                <w:color w:val="000000"/>
              </w:rPr>
              <w:br/>
              <w:t>na případnou havárii a až poté řešit)</w:t>
            </w:r>
          </w:p>
          <w:p w14:paraId="01D3E85C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Nedostatek finančních prostředků na opravy školy</w:t>
            </w:r>
          </w:p>
          <w:p w14:paraId="3985B10B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Velký počet žáků ve třídách</w:t>
            </w:r>
            <w:r w:rsidRPr="0089011A">
              <w:t>;</w:t>
            </w:r>
          </w:p>
          <w:p w14:paraId="58E5BF80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rPr>
                <w:rFonts w:eastAsia="Times New Roman" w:cstheme="minorHAnsi"/>
                <w:color w:val="000000"/>
                <w:lang w:eastAsia="cs-CZ"/>
              </w:rPr>
              <w:t>Nedostatek financí na asistenty pedagoga</w:t>
            </w:r>
          </w:p>
          <w:p w14:paraId="17C91D7B" w14:textId="21187930" w:rsidR="00780143" w:rsidRPr="0089011A" w:rsidRDefault="00780143" w:rsidP="0089011A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rPr>
                <w:rFonts w:eastAsia="Times New Roman" w:cstheme="minorHAnsi"/>
                <w:color w:val="000000"/>
                <w:lang w:eastAsia="cs-CZ"/>
              </w:rPr>
              <w:t xml:space="preserve">Nedostatek finančních prostředků pro realizaci mimoškolního vzdělávání pro znevýhodněné </w:t>
            </w:r>
            <w:r w:rsidR="00093417">
              <w:rPr>
                <w:rFonts w:eastAsia="Times New Roman" w:cstheme="minorHAnsi"/>
                <w:color w:val="000000"/>
                <w:lang w:eastAsia="cs-CZ"/>
              </w:rPr>
              <w:t>děti</w:t>
            </w:r>
            <w:r w:rsidRPr="0089011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</w:tbl>
    <w:p w14:paraId="47B8D089" w14:textId="77777777" w:rsidR="00780143" w:rsidRPr="00780143" w:rsidRDefault="00780143" w:rsidP="00780143"/>
    <w:p w14:paraId="18B7C569" w14:textId="37343156" w:rsidR="00381DCE" w:rsidRPr="0089011A" w:rsidRDefault="00780143" w:rsidP="0089011A">
      <w:pPr>
        <w:pStyle w:val="Nadpis2"/>
        <w:numPr>
          <w:ilvl w:val="0"/>
          <w:numId w:val="0"/>
        </w:numPr>
        <w:jc w:val="center"/>
        <w:rPr>
          <w:color w:val="323E4F" w:themeColor="text2" w:themeShade="BF"/>
          <w:sz w:val="24"/>
          <w:szCs w:val="24"/>
        </w:rPr>
      </w:pPr>
      <w:r w:rsidRPr="00780143">
        <w:rPr>
          <w:color w:val="323E4F" w:themeColor="text2" w:themeShade="BF"/>
          <w:sz w:val="24"/>
          <w:szCs w:val="24"/>
        </w:rPr>
        <w:lastRenderedPageBreak/>
        <w:t>2.</w:t>
      </w:r>
      <w:r w:rsidR="00381DCE" w:rsidRPr="00780143">
        <w:rPr>
          <w:color w:val="323E4F" w:themeColor="text2" w:themeShade="BF"/>
          <w:sz w:val="24"/>
          <w:szCs w:val="24"/>
        </w:rPr>
        <w:t>Podpora kompetencí k iniciativě a kreativitě a podpora sociálních a občanských</w:t>
      </w:r>
      <w:r w:rsidR="006A015B" w:rsidRPr="00780143">
        <w:rPr>
          <w:color w:val="323E4F" w:themeColor="text2" w:themeShade="BF"/>
          <w:sz w:val="24"/>
          <w:szCs w:val="24"/>
        </w:rPr>
        <w:t xml:space="preserve"> </w:t>
      </w:r>
      <w:r w:rsidR="00381DCE" w:rsidRPr="00780143">
        <w:rPr>
          <w:color w:val="323E4F" w:themeColor="text2" w:themeShade="BF"/>
          <w:sz w:val="24"/>
          <w:szCs w:val="24"/>
        </w:rPr>
        <w:t>dovedností a dalších klíčových kompetencí na MŠ</w:t>
      </w:r>
      <w:bookmarkEnd w:id="3"/>
      <w:bookmarkEnd w:id="4"/>
      <w:bookmarkEnd w:id="5"/>
    </w:p>
    <w:p w14:paraId="5D31E7E1" w14:textId="77777777" w:rsidR="00381DCE" w:rsidRDefault="00381DCE" w:rsidP="00381DCE"/>
    <w:tbl>
      <w:tblPr>
        <w:tblStyle w:val="Mkatabulky4"/>
        <w:tblW w:w="11335" w:type="dxa"/>
        <w:jc w:val="center"/>
        <w:tblLook w:val="04A0" w:firstRow="1" w:lastRow="0" w:firstColumn="1" w:lastColumn="0" w:noHBand="0" w:noVBand="1"/>
      </w:tblPr>
      <w:tblGrid>
        <w:gridCol w:w="5807"/>
        <w:gridCol w:w="5528"/>
      </w:tblGrid>
      <w:tr w:rsidR="00780143" w:rsidRPr="0089011A" w14:paraId="60A6456C" w14:textId="77777777" w:rsidTr="0089011A">
        <w:trPr>
          <w:jc w:val="center"/>
        </w:trPr>
        <w:tc>
          <w:tcPr>
            <w:tcW w:w="5807" w:type="dxa"/>
            <w:shd w:val="clear" w:color="auto" w:fill="323E4F" w:themeFill="text2" w:themeFillShade="BF"/>
            <w:vAlign w:val="center"/>
          </w:tcPr>
          <w:p w14:paraId="5C6A76ED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528" w:type="dxa"/>
            <w:shd w:val="clear" w:color="auto" w:fill="323E4F" w:themeFill="text2" w:themeFillShade="BF"/>
            <w:vAlign w:val="center"/>
          </w:tcPr>
          <w:p w14:paraId="7B615928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Slabé stránky</w:t>
            </w:r>
          </w:p>
        </w:tc>
      </w:tr>
      <w:tr w:rsidR="00780143" w:rsidRPr="0089011A" w14:paraId="75F9C612" w14:textId="77777777" w:rsidTr="0089011A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65C21DAB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MŠ podporují klíčové kompetence k rozvoji kreativity podle RVP PV;</w:t>
            </w:r>
          </w:p>
          <w:p w14:paraId="62F9165D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 xml:space="preserve">MŠ informují a spolupracují v oblasti podpory kompetencí k iniciativě a kreativitě s rodiči (např. ukázky práce s dětmi </w:t>
            </w:r>
            <w:r w:rsidRPr="0089011A">
              <w:rPr>
                <w:color w:val="000000" w:themeColor="text1"/>
              </w:rPr>
              <w:br/>
              <w:t>pro rodiče, dny otevřených dveří apod.);</w:t>
            </w:r>
          </w:p>
          <w:p w14:paraId="08DBE78C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V MŠ je pěstována kultura komunikace mezi všemi účastníky vzdělávání;</w:t>
            </w:r>
          </w:p>
          <w:p w14:paraId="774E9FB3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 xml:space="preserve">MŠ rozvíjí schopnost říct si o pomoc a ochotu nabídnout </w:t>
            </w:r>
            <w:r w:rsidRPr="0089011A">
              <w:rPr>
                <w:color w:val="000000" w:themeColor="text1"/>
              </w:rPr>
              <w:br/>
              <w:t>a poskytnout pomoc;</w:t>
            </w:r>
          </w:p>
          <w:p w14:paraId="1E519EEC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MŠ rozvíjí schopnost dětí učit se.</w:t>
            </w:r>
          </w:p>
          <w:p w14:paraId="3C4A982E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V MŠ je v rámci vzdělávacího procesu nastaveno bezpečné prostředí pro rozvoj kreativity, iniciativy a názorů dětí;</w:t>
            </w:r>
          </w:p>
          <w:p w14:paraId="14BCEB63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Výuka směřuje k přípravě na výuku v základní škole, k základním společenským návykům a pravidlům chování v různých prostředích;</w:t>
            </w:r>
          </w:p>
          <w:p w14:paraId="2E9F042A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Učitelé rozvíjejí své znalosti v oblasti podpory kreativity a využívají je ve výchově (kurzy dalšího vzdělávání, studium literatury aj.);</w:t>
            </w:r>
          </w:p>
          <w:p w14:paraId="256F98E0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Uvnitř MŠ se pěstuje vzájemná spolupráce učitele, rodičů a dětí;</w:t>
            </w:r>
          </w:p>
          <w:p w14:paraId="45488624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 xml:space="preserve">Školy systematicky učí prvkům iniciativy a kreativity, prostředí </w:t>
            </w:r>
            <w:r w:rsidRPr="0089011A">
              <w:rPr>
                <w:color w:val="000000" w:themeColor="text1"/>
              </w:rPr>
              <w:br/>
              <w:t>i přístup pedagogů podporuje fantazii a iniciativu dětí;</w:t>
            </w:r>
          </w:p>
          <w:p w14:paraId="0A4EF8D6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MŠ nabízí pestré možnosti seberealizace dětí, umožňují dětem realizovat vlastní nápady (např. dramatizace textu atp.);</w:t>
            </w:r>
          </w:p>
          <w:p w14:paraId="12ACD07C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 xml:space="preserve">MŠ budují povědomí o etických hodnotách, mají formálně </w:t>
            </w:r>
            <w:r w:rsidRPr="0089011A">
              <w:rPr>
                <w:color w:val="000000" w:themeColor="text1"/>
              </w:rPr>
              <w:br/>
              <w:t>i neformálně jednoznačně nastavená a sdílená spravedlivá pravidla společenského chování a komunikace, která se dodržují;</w:t>
            </w:r>
          </w:p>
          <w:p w14:paraId="0AC6D501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 xml:space="preserve">V MŠ je pěstováno kulturní povědomí a kulturní komunikace (tj. rozvoj tvůrčího vyjadřování myšlenek, zážitků a emocí různými formami využitím hudby, divadelního umění, literatury </w:t>
            </w:r>
            <w:r w:rsidRPr="0089011A">
              <w:rPr>
                <w:color w:val="000000" w:themeColor="text1"/>
              </w:rPr>
              <w:br/>
              <w:t>a vizuálního umění);</w:t>
            </w:r>
          </w:p>
          <w:p w14:paraId="08E6446F" w14:textId="77777777" w:rsidR="00780143" w:rsidRPr="0089011A" w:rsidRDefault="00780143" w:rsidP="00780143">
            <w:pPr>
              <w:ind w:left="720"/>
              <w:contextualSpacing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4DC0B3A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Malý zájem a stereotypní přístup pedagogů k podpoře iniciativy a kreativity.</w:t>
            </w:r>
          </w:p>
          <w:p w14:paraId="08A76CB1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Více společných akcí mezi školami na podporu kreativity</w:t>
            </w:r>
          </w:p>
          <w:p w14:paraId="1A0173C2" w14:textId="42EDD771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Více společných akcí a projektů mezi MŠ, ZŠ a ostatními aktéry ve vzdělávání v uvedených klíčových kompetencích</w:t>
            </w:r>
          </w:p>
          <w:p w14:paraId="44C28875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t>Některým dětem chybí trpělivost a vytrvalost, neumí si užít radost z procesu tvoření, touha po rychlém výsledku</w:t>
            </w:r>
            <w:r w:rsidRPr="0089011A">
              <w:tab/>
            </w:r>
          </w:p>
        </w:tc>
      </w:tr>
      <w:tr w:rsidR="00780143" w:rsidRPr="0089011A" w14:paraId="74AFF3A1" w14:textId="77777777" w:rsidTr="0089011A">
        <w:trPr>
          <w:jc w:val="center"/>
        </w:trPr>
        <w:tc>
          <w:tcPr>
            <w:tcW w:w="5807" w:type="dxa"/>
            <w:shd w:val="clear" w:color="auto" w:fill="323E4F" w:themeFill="text2" w:themeFillShade="BF"/>
          </w:tcPr>
          <w:p w14:paraId="0A308B04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528" w:type="dxa"/>
            <w:shd w:val="clear" w:color="auto" w:fill="323E4F" w:themeFill="text2" w:themeFillShade="BF"/>
          </w:tcPr>
          <w:p w14:paraId="0351D047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Hrozby</w:t>
            </w:r>
          </w:p>
        </w:tc>
      </w:tr>
      <w:tr w:rsidR="00780143" w:rsidRPr="0089011A" w14:paraId="0E7B184C" w14:textId="77777777" w:rsidTr="0089011A">
        <w:trPr>
          <w:jc w:val="center"/>
        </w:trPr>
        <w:tc>
          <w:tcPr>
            <w:tcW w:w="5807" w:type="dxa"/>
          </w:tcPr>
          <w:p w14:paraId="1D225E67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Výuku chtějí MŠ směřovat ještě více k přípravě na výuku v ZŠ, k základním společenským návykům a pravidlům chování v různých prostředích.</w:t>
            </w:r>
          </w:p>
          <w:p w14:paraId="4A8C6A03" w14:textId="68DFC8A4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Učitelé chtějí dále rozvíjet své znalosti v oblasti podpory kreativity a využívat je ve výchově (kurzy dalšího vzdělávání,</w:t>
            </w:r>
            <w:r w:rsidR="00093417">
              <w:rPr>
                <w:color w:val="000000" w:themeColor="text1"/>
              </w:rPr>
              <w:t xml:space="preserve"> vzájemné sdílení, workshopy,</w:t>
            </w:r>
            <w:r w:rsidRPr="0089011A">
              <w:rPr>
                <w:color w:val="000000" w:themeColor="text1"/>
              </w:rPr>
              <w:t xml:space="preserve"> studium literatury aj.);</w:t>
            </w:r>
          </w:p>
          <w:p w14:paraId="07CBD1B4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lastRenderedPageBreak/>
              <w:t>MŠ chtějí u dětí ještě více rozvíjet schopnosti sebereflexe a sebehodnocení;</w:t>
            </w:r>
          </w:p>
          <w:p w14:paraId="3138AD59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MŠ chtějí rozšiřovat nabídku pestrých možností seberealizace dětí, umožňovat dětem realizovat vlastní nápady;</w:t>
            </w:r>
          </w:p>
          <w:p w14:paraId="665F09B2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Školy chtějí nadále systematicky rozvíjet výuku prvků iniciativy, kreativity a fantazie;</w:t>
            </w:r>
          </w:p>
          <w:p w14:paraId="6703CDC0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Rozvíjení vztahu k bezpečnému používání informačních, komunikačních a dalších technologií;</w:t>
            </w:r>
          </w:p>
          <w:p w14:paraId="17F921A8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 w:themeColor="text1"/>
              </w:rPr>
            </w:pPr>
            <w:r w:rsidRPr="0089011A">
              <w:rPr>
                <w:color w:val="000000" w:themeColor="text1"/>
              </w:rPr>
              <w:t>Nákup pomůcek pro rozvoj kreativity.</w:t>
            </w:r>
          </w:p>
          <w:p w14:paraId="4B8CFAE1" w14:textId="77777777" w:rsidR="00780143" w:rsidRPr="00093417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 w:rsidRPr="0089011A">
              <w:rPr>
                <w:color w:val="000000" w:themeColor="text1"/>
              </w:rPr>
              <w:t>MŠ chtějí více rozvíjet schopnost dětí učit se.</w:t>
            </w:r>
          </w:p>
          <w:p w14:paraId="4E0E5DB9" w14:textId="40317F6F" w:rsidR="00093417" w:rsidRPr="0089011A" w:rsidRDefault="00093417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</w:pPr>
            <w:r>
              <w:t>Podpora wellbeingu, duševního zdraví</w:t>
            </w:r>
          </w:p>
          <w:p w14:paraId="7A816333" w14:textId="77777777" w:rsidR="00780143" w:rsidRPr="0089011A" w:rsidRDefault="00780143" w:rsidP="00780143">
            <w:pPr>
              <w:widowControl/>
              <w:spacing w:line="240" w:lineRule="auto"/>
              <w:ind w:left="720"/>
              <w:contextualSpacing/>
              <w:jc w:val="both"/>
            </w:pPr>
          </w:p>
        </w:tc>
        <w:tc>
          <w:tcPr>
            <w:tcW w:w="5528" w:type="dxa"/>
          </w:tcPr>
          <w:p w14:paraId="50C79715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lastRenderedPageBreak/>
              <w:t>Nedostatek finančních prostředků pro zajištění nových a moderních pomůcek, literatury a pro rozvoj iniciativy a kreativity dětí,</w:t>
            </w:r>
          </w:p>
          <w:p w14:paraId="13FBEEB4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 xml:space="preserve">Nedostupnost informačních </w:t>
            </w:r>
            <w:r w:rsidRPr="0089011A">
              <w:rPr>
                <w:color w:val="000000"/>
              </w:rPr>
              <w:br/>
              <w:t xml:space="preserve">a komunikačních technologií pro rozvoj iniciativy </w:t>
            </w:r>
            <w:r w:rsidRPr="0089011A">
              <w:rPr>
                <w:color w:val="000000"/>
              </w:rPr>
              <w:br/>
              <w:t>a kreativity.</w:t>
            </w:r>
          </w:p>
          <w:p w14:paraId="43011C59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Nejsou podmínky pro personální zajištění</w:t>
            </w:r>
          </w:p>
          <w:p w14:paraId="1CA95B93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lastRenderedPageBreak/>
              <w:t>Vliv konzumního způsobu života, všechno si koupí, nenutí je cokoliv si udělat</w:t>
            </w:r>
          </w:p>
          <w:p w14:paraId="282AD6B1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Negativní vliv společnosti, nesprávné nastavení hodnot, ztráta hodnot, příklady špatného chování v některých rodinách</w:t>
            </w:r>
          </w:p>
        </w:tc>
      </w:tr>
    </w:tbl>
    <w:p w14:paraId="41166DE5" w14:textId="5CCE9974" w:rsidR="00381DCE" w:rsidRPr="00780143" w:rsidRDefault="006A015B" w:rsidP="00780143">
      <w:pPr>
        <w:pStyle w:val="Nadpis4"/>
        <w:numPr>
          <w:ilvl w:val="0"/>
          <w:numId w:val="0"/>
        </w:numPr>
        <w:ind w:left="864"/>
        <w:jc w:val="center"/>
        <w:rPr>
          <w:color w:val="323E4F" w:themeColor="text2" w:themeShade="BF"/>
        </w:rPr>
      </w:pPr>
      <w:bookmarkStart w:id="6" w:name="_Toc94546026"/>
      <w:bookmarkStart w:id="7" w:name="_Toc94549921"/>
      <w:bookmarkStart w:id="8" w:name="_Toc94555914"/>
      <w:bookmarkStart w:id="9" w:name="_Toc94559835"/>
      <w:bookmarkStart w:id="10" w:name="_Toc94563756"/>
      <w:bookmarkStart w:id="11" w:name="_Toc94567677"/>
      <w:bookmarkStart w:id="12" w:name="_Toc94570830"/>
      <w:bookmarkStart w:id="13" w:name="_Toc94574784"/>
      <w:bookmarkStart w:id="14" w:name="_Toc99388944"/>
      <w:bookmarkStart w:id="15" w:name="_Toc99392846"/>
      <w:bookmarkStart w:id="16" w:name="_Toc94546027"/>
      <w:bookmarkStart w:id="17" w:name="_Toc94549922"/>
      <w:bookmarkStart w:id="18" w:name="_Toc94555915"/>
      <w:bookmarkStart w:id="19" w:name="_Toc94559836"/>
      <w:bookmarkStart w:id="20" w:name="_Toc94563757"/>
      <w:bookmarkStart w:id="21" w:name="_Toc94567678"/>
      <w:bookmarkStart w:id="22" w:name="_Toc94570831"/>
      <w:bookmarkStart w:id="23" w:name="_Toc94574785"/>
      <w:bookmarkStart w:id="24" w:name="_Toc99388945"/>
      <w:bookmarkStart w:id="25" w:name="_Toc99392847"/>
      <w:bookmarkStart w:id="26" w:name="_Toc94546028"/>
      <w:bookmarkStart w:id="27" w:name="_Toc94549923"/>
      <w:bookmarkStart w:id="28" w:name="_Toc94555916"/>
      <w:bookmarkStart w:id="29" w:name="_Toc94559837"/>
      <w:bookmarkStart w:id="30" w:name="_Toc94563758"/>
      <w:bookmarkStart w:id="31" w:name="_Toc94567679"/>
      <w:bookmarkStart w:id="32" w:name="_Toc94570832"/>
      <w:bookmarkStart w:id="33" w:name="_Toc94574786"/>
      <w:bookmarkStart w:id="34" w:name="_Toc99388946"/>
      <w:bookmarkStart w:id="35" w:name="_Toc99392848"/>
      <w:bookmarkStart w:id="36" w:name="_Toc94546029"/>
      <w:bookmarkStart w:id="37" w:name="_Toc94549924"/>
      <w:bookmarkStart w:id="38" w:name="_Toc94555917"/>
      <w:bookmarkStart w:id="39" w:name="_Toc94559838"/>
      <w:bookmarkStart w:id="40" w:name="_Toc94563759"/>
      <w:bookmarkStart w:id="41" w:name="_Toc94567680"/>
      <w:bookmarkStart w:id="42" w:name="_Toc94570833"/>
      <w:bookmarkStart w:id="43" w:name="_Toc94574787"/>
      <w:bookmarkStart w:id="44" w:name="_Toc99388947"/>
      <w:bookmarkStart w:id="45" w:name="_Toc99392849"/>
      <w:bookmarkStart w:id="46" w:name="_Toc45119534"/>
      <w:bookmarkStart w:id="47" w:name="_Toc94549925"/>
      <w:bookmarkStart w:id="48" w:name="_Toc993928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780143">
        <w:rPr>
          <w:color w:val="323E4F" w:themeColor="text2" w:themeShade="BF"/>
        </w:rPr>
        <w:lastRenderedPageBreak/>
        <w:t xml:space="preserve">3. </w:t>
      </w:r>
      <w:r w:rsidR="00381DCE" w:rsidRPr="00780143">
        <w:rPr>
          <w:color w:val="323E4F" w:themeColor="text2" w:themeShade="BF"/>
        </w:rPr>
        <w:t>Podpora polytechnického vzdělávání na MŠ</w:t>
      </w:r>
      <w:bookmarkEnd w:id="46"/>
      <w:bookmarkEnd w:id="47"/>
      <w:bookmarkEnd w:id="48"/>
    </w:p>
    <w:p w14:paraId="63F2BC4D" w14:textId="77777777" w:rsidR="00381DCE" w:rsidRDefault="00381DCE" w:rsidP="00381DCE"/>
    <w:tbl>
      <w:tblPr>
        <w:tblStyle w:val="Mkatabulky5"/>
        <w:tblW w:w="11335" w:type="dxa"/>
        <w:jc w:val="center"/>
        <w:tblLook w:val="04A0" w:firstRow="1" w:lastRow="0" w:firstColumn="1" w:lastColumn="0" w:noHBand="0" w:noVBand="1"/>
      </w:tblPr>
      <w:tblGrid>
        <w:gridCol w:w="5807"/>
        <w:gridCol w:w="5528"/>
      </w:tblGrid>
      <w:tr w:rsidR="00780143" w:rsidRPr="0089011A" w14:paraId="3F883289" w14:textId="77777777" w:rsidTr="0089011A">
        <w:trPr>
          <w:jc w:val="center"/>
        </w:trPr>
        <w:tc>
          <w:tcPr>
            <w:tcW w:w="5807" w:type="dxa"/>
            <w:shd w:val="clear" w:color="auto" w:fill="323E4F" w:themeFill="text2" w:themeFillShade="BF"/>
            <w:vAlign w:val="center"/>
          </w:tcPr>
          <w:p w14:paraId="71B052D5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528" w:type="dxa"/>
            <w:shd w:val="clear" w:color="auto" w:fill="323E4F" w:themeFill="text2" w:themeFillShade="BF"/>
            <w:vAlign w:val="center"/>
          </w:tcPr>
          <w:p w14:paraId="14669C55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Slabé stránky</w:t>
            </w:r>
          </w:p>
        </w:tc>
      </w:tr>
      <w:tr w:rsidR="00780143" w:rsidRPr="0089011A" w14:paraId="37434848" w14:textId="77777777" w:rsidTr="0089011A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67077A73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rPr>
                <w:color w:val="000000"/>
              </w:rPr>
              <w:t xml:space="preserve">Učitelé MŠ rozvíjejí své znalosti v oblasti polytechnického vzdělávání a využívají je </w:t>
            </w:r>
            <w:r w:rsidRPr="0089011A">
              <w:rPr>
                <w:color w:val="000000"/>
              </w:rPr>
              <w:br/>
              <w:t>ve výchově (kurzy dalšího vzdělávání, studium literatury aj.).</w:t>
            </w:r>
          </w:p>
          <w:p w14:paraId="24F16EF6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rPr>
                <w:color w:val="000000"/>
              </w:rPr>
              <w:t>Technické, přírodovědné a environmentální vzdělávání je na školách realizováno v souladu s RVP PV</w:t>
            </w:r>
            <w:r w:rsidRPr="0089011A">
              <w:t>;</w:t>
            </w:r>
          </w:p>
          <w:p w14:paraId="5D3A9D65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 xml:space="preserve">Aktivita zástupců MŠ k rozvoji spolupráce mezi ostatními MŠ v této oblasti </w:t>
            </w:r>
          </w:p>
          <w:p w14:paraId="2CB51737" w14:textId="77777777" w:rsidR="00780143" w:rsidRPr="0089011A" w:rsidRDefault="00780143" w:rsidP="00780143"/>
        </w:tc>
        <w:tc>
          <w:tcPr>
            <w:tcW w:w="5528" w:type="dxa"/>
            <w:tcBorders>
              <w:bottom w:val="single" w:sz="4" w:space="0" w:color="auto"/>
            </w:tcBorders>
          </w:tcPr>
          <w:p w14:paraId="3A48658F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 xml:space="preserve">MŠ nedisponují vzdělávacími materiály </w:t>
            </w:r>
            <w:r w:rsidRPr="0089011A">
              <w:br/>
              <w:t>pro vzdělávání polytechnického charakteru.</w:t>
            </w:r>
          </w:p>
          <w:p w14:paraId="066CEADB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V MŠ neexistuje osoba zodpovědná za rozvoj polytechnického vzdělávání, schopná poradit, doporučovat dětem nebo učitelům.</w:t>
            </w:r>
          </w:p>
          <w:p w14:paraId="1B7A871D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>Učitelé MŠ nevyužívají poznatky v praxi a nesdílejí dobrou praxi v oblasti rozvoje polytechnického vzdělávání mezi sebou i s učiteli z jiných škol;</w:t>
            </w:r>
          </w:p>
          <w:p w14:paraId="469E15D0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>MŠ aktivně nespolupracují s jinými MŠ a ZŠ v oblasti polytechniky;</w:t>
            </w:r>
          </w:p>
          <w:p w14:paraId="39B7A1D5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 xml:space="preserve">MŠ nedisponují dostatečným technickým </w:t>
            </w:r>
            <w:r w:rsidRPr="0089011A">
              <w:br/>
              <w:t>a materiálním zabezpečením pro rozvíjení prostorového a logického myšlení a manuálních dovedností;</w:t>
            </w:r>
          </w:p>
          <w:p w14:paraId="54C836FA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>Malý zájem pedagogů o podporu polytechnického vzdělávání.</w:t>
            </w:r>
          </w:p>
          <w:p w14:paraId="1FF2036B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t>MŠ nevyužívají informační a komunikační technologie v oblasti rozvoje polytechnického vzdělávání.</w:t>
            </w:r>
          </w:p>
          <w:p w14:paraId="2279D73F" w14:textId="77777777" w:rsidR="00780143" w:rsidRPr="0089011A" w:rsidRDefault="00780143" w:rsidP="00780143">
            <w:pPr>
              <w:widowControl/>
              <w:spacing w:line="240" w:lineRule="auto"/>
              <w:jc w:val="both"/>
            </w:pPr>
          </w:p>
        </w:tc>
      </w:tr>
      <w:tr w:rsidR="00780143" w:rsidRPr="0089011A" w14:paraId="121E688D" w14:textId="77777777" w:rsidTr="0089011A">
        <w:trPr>
          <w:jc w:val="center"/>
        </w:trPr>
        <w:tc>
          <w:tcPr>
            <w:tcW w:w="5807" w:type="dxa"/>
            <w:shd w:val="clear" w:color="auto" w:fill="323E4F" w:themeFill="text2" w:themeFillShade="BF"/>
          </w:tcPr>
          <w:p w14:paraId="2B38B512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528" w:type="dxa"/>
            <w:shd w:val="clear" w:color="auto" w:fill="323E4F" w:themeFill="text2" w:themeFillShade="BF"/>
          </w:tcPr>
          <w:p w14:paraId="39872EE2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Hrozby</w:t>
            </w:r>
          </w:p>
        </w:tc>
      </w:tr>
      <w:tr w:rsidR="00780143" w:rsidRPr="0089011A" w14:paraId="7D876025" w14:textId="77777777" w:rsidTr="0089011A">
        <w:trPr>
          <w:jc w:val="center"/>
        </w:trPr>
        <w:tc>
          <w:tcPr>
            <w:tcW w:w="5807" w:type="dxa"/>
          </w:tcPr>
          <w:p w14:paraId="339D9189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 xml:space="preserve">Rozvoj znalostí učitelů MŠ v oblasti polytechnického vzdělávání a jejich využívání </w:t>
            </w:r>
            <w:r w:rsidRPr="0089011A">
              <w:br/>
              <w:t>ve výchově (kurzy dalšího vzdělávání, studium literatury aj.);</w:t>
            </w:r>
          </w:p>
          <w:p w14:paraId="3EE503F8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>MŠ plánují více podporovat samostatnou práci dětí v oblasti polytechnického vzdělávání;</w:t>
            </w:r>
          </w:p>
          <w:p w14:paraId="72D61AB5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>Využívání poznatků učiteli v praxi a sdílení dobré praxe v oblasti rozvoje polytechnického vzdělávání mezi sebou i s učiteli z jiných škol;</w:t>
            </w:r>
          </w:p>
          <w:p w14:paraId="0A4FE7EF" w14:textId="5385891B" w:rsidR="00780143" w:rsidRPr="00093417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 xml:space="preserve">MŠ chtějí informovat a spolupracovat v oblasti polytechnického vzdělávání s rodiči </w:t>
            </w:r>
            <w:r w:rsidR="0089011A">
              <w:t xml:space="preserve">a ZUŠ </w:t>
            </w:r>
            <w:r w:rsidRPr="0089011A">
              <w:t>(</w:t>
            </w:r>
            <w:r w:rsidR="0089011A">
              <w:t>podpora manuální zručnosti -</w:t>
            </w:r>
            <w:r w:rsidRPr="0089011A">
              <w:t xml:space="preserve"> výstavky prací, představení systému školy v oblasti polytechnického vzdělávání, kroužků, aktivit apod.).</w:t>
            </w:r>
          </w:p>
        </w:tc>
        <w:tc>
          <w:tcPr>
            <w:tcW w:w="5528" w:type="dxa"/>
          </w:tcPr>
          <w:p w14:paraId="36816988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color w:val="000000"/>
              </w:rPr>
            </w:pPr>
            <w:r w:rsidRPr="0089011A">
              <w:rPr>
                <w:color w:val="000000"/>
              </w:rPr>
              <w:t>Nedostatek financí na podporu polytechnického vzdělávání</w:t>
            </w:r>
            <w:r w:rsidRPr="0089011A">
              <w:t>;</w:t>
            </w:r>
            <w:r w:rsidRPr="0089011A">
              <w:rPr>
                <w:color w:val="000000"/>
              </w:rPr>
              <w:tab/>
            </w:r>
            <w:r w:rsidRPr="0089011A">
              <w:rPr>
                <w:color w:val="000000"/>
              </w:rPr>
              <w:tab/>
            </w:r>
          </w:p>
          <w:p w14:paraId="1DBA589B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 xml:space="preserve">Nedostatečná podpora dětí se zájmem </w:t>
            </w:r>
            <w:r w:rsidRPr="0089011A">
              <w:br/>
              <w:t>o polytechnické vzdělávání jejich rodiči;</w:t>
            </w:r>
          </w:p>
          <w:p w14:paraId="10E5EFC1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>Strach o bezpečnost dětí.</w:t>
            </w:r>
            <w:r w:rsidRPr="0089011A">
              <w:tab/>
            </w:r>
          </w:p>
          <w:p w14:paraId="602B707D" w14:textId="77777777" w:rsidR="00780143" w:rsidRPr="0089011A" w:rsidRDefault="00780143" w:rsidP="00780143"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</w:pPr>
            <w:r w:rsidRPr="0089011A">
              <w:t>Nedostatek příležitostí k DVPP v oblasti polytechniky</w:t>
            </w:r>
          </w:p>
        </w:tc>
      </w:tr>
    </w:tbl>
    <w:p w14:paraId="7E88A429" w14:textId="77777777" w:rsidR="006A015B" w:rsidRDefault="006A015B" w:rsidP="0089011A">
      <w:pPr>
        <w:pStyle w:val="Nadpis4"/>
        <w:numPr>
          <w:ilvl w:val="0"/>
          <w:numId w:val="0"/>
        </w:numPr>
        <w:rPr>
          <w:color w:val="2F5496" w:themeColor="accent1" w:themeShade="BF"/>
        </w:rPr>
      </w:pPr>
      <w:bookmarkStart w:id="49" w:name="_Toc99388949"/>
      <w:bookmarkStart w:id="50" w:name="_Toc99392851"/>
      <w:bookmarkStart w:id="51" w:name="_Toc99388950"/>
      <w:bookmarkStart w:id="52" w:name="_Toc99392852"/>
      <w:bookmarkStart w:id="53" w:name="_Toc99388951"/>
      <w:bookmarkStart w:id="54" w:name="_Toc99392853"/>
      <w:bookmarkStart w:id="55" w:name="_Toc99388952"/>
      <w:bookmarkStart w:id="56" w:name="_Toc99392854"/>
      <w:bookmarkStart w:id="57" w:name="_Toc99388953"/>
      <w:bookmarkStart w:id="58" w:name="_Toc99392855"/>
      <w:bookmarkStart w:id="59" w:name="_Toc99388954"/>
      <w:bookmarkStart w:id="60" w:name="_Toc99392856"/>
      <w:bookmarkStart w:id="61" w:name="_Toc99388955"/>
      <w:bookmarkStart w:id="62" w:name="_Toc99392857"/>
      <w:bookmarkStart w:id="63" w:name="_Toc94546031"/>
      <w:bookmarkStart w:id="64" w:name="_Toc94549926"/>
      <w:bookmarkStart w:id="65" w:name="_Toc94555919"/>
      <w:bookmarkStart w:id="66" w:name="_Toc94559840"/>
      <w:bookmarkStart w:id="67" w:name="_Toc94563761"/>
      <w:bookmarkStart w:id="68" w:name="_Toc94567682"/>
      <w:bookmarkStart w:id="69" w:name="_Toc94570835"/>
      <w:bookmarkStart w:id="70" w:name="_Toc94574789"/>
      <w:bookmarkStart w:id="71" w:name="_Toc99388956"/>
      <w:bookmarkStart w:id="72" w:name="_Toc99392858"/>
      <w:bookmarkStart w:id="73" w:name="_Toc94546032"/>
      <w:bookmarkStart w:id="74" w:name="_Toc94549927"/>
      <w:bookmarkStart w:id="75" w:name="_Toc94555920"/>
      <w:bookmarkStart w:id="76" w:name="_Toc94559841"/>
      <w:bookmarkStart w:id="77" w:name="_Toc94563762"/>
      <w:bookmarkStart w:id="78" w:name="_Toc94567683"/>
      <w:bookmarkStart w:id="79" w:name="_Toc94570836"/>
      <w:bookmarkStart w:id="80" w:name="_Toc94574790"/>
      <w:bookmarkStart w:id="81" w:name="_Toc99388957"/>
      <w:bookmarkStart w:id="82" w:name="_Toc99392859"/>
      <w:bookmarkStart w:id="83" w:name="_Toc94546033"/>
      <w:bookmarkStart w:id="84" w:name="_Toc94549928"/>
      <w:bookmarkStart w:id="85" w:name="_Toc94555921"/>
      <w:bookmarkStart w:id="86" w:name="_Toc94559842"/>
      <w:bookmarkStart w:id="87" w:name="_Toc94563763"/>
      <w:bookmarkStart w:id="88" w:name="_Toc94567684"/>
      <w:bookmarkStart w:id="89" w:name="_Toc94570837"/>
      <w:bookmarkStart w:id="90" w:name="_Toc94574791"/>
      <w:bookmarkStart w:id="91" w:name="_Toc99388958"/>
      <w:bookmarkStart w:id="92" w:name="_Toc99392860"/>
      <w:bookmarkStart w:id="93" w:name="_Toc94546034"/>
      <w:bookmarkStart w:id="94" w:name="_Toc94549929"/>
      <w:bookmarkStart w:id="95" w:name="_Toc94555922"/>
      <w:bookmarkStart w:id="96" w:name="_Toc94559843"/>
      <w:bookmarkStart w:id="97" w:name="_Toc94563764"/>
      <w:bookmarkStart w:id="98" w:name="_Toc94567685"/>
      <w:bookmarkStart w:id="99" w:name="_Toc94570838"/>
      <w:bookmarkStart w:id="100" w:name="_Toc94574792"/>
      <w:bookmarkStart w:id="101" w:name="_Toc99388959"/>
      <w:bookmarkStart w:id="102" w:name="_Toc99392861"/>
      <w:bookmarkStart w:id="103" w:name="_Toc94546035"/>
      <w:bookmarkStart w:id="104" w:name="_Toc94549930"/>
      <w:bookmarkStart w:id="105" w:name="_Toc94555923"/>
      <w:bookmarkStart w:id="106" w:name="_Toc94559844"/>
      <w:bookmarkStart w:id="107" w:name="_Toc94563765"/>
      <w:bookmarkStart w:id="108" w:name="_Toc94567686"/>
      <w:bookmarkStart w:id="109" w:name="_Toc94570839"/>
      <w:bookmarkStart w:id="110" w:name="_Toc94574793"/>
      <w:bookmarkStart w:id="111" w:name="_Toc99388960"/>
      <w:bookmarkStart w:id="112" w:name="_Toc99392862"/>
      <w:bookmarkStart w:id="113" w:name="_Toc45119535"/>
      <w:bookmarkStart w:id="114" w:name="_Toc94549931"/>
      <w:bookmarkStart w:id="115" w:name="_Toc9939286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1584139C" w14:textId="7D5D4763" w:rsidR="00381DCE" w:rsidRPr="00780143" w:rsidRDefault="006A015B" w:rsidP="00780143">
      <w:pPr>
        <w:pStyle w:val="Nadpis4"/>
        <w:numPr>
          <w:ilvl w:val="0"/>
          <w:numId w:val="0"/>
        </w:numPr>
        <w:ind w:left="864"/>
        <w:jc w:val="center"/>
        <w:rPr>
          <w:color w:val="323E4F" w:themeColor="text2" w:themeShade="BF"/>
        </w:rPr>
      </w:pPr>
      <w:r w:rsidRPr="00780143">
        <w:rPr>
          <w:color w:val="323E4F" w:themeColor="text2" w:themeShade="BF"/>
        </w:rPr>
        <w:t xml:space="preserve">4. </w:t>
      </w:r>
      <w:r w:rsidR="00381DCE" w:rsidRPr="00780143">
        <w:rPr>
          <w:color w:val="323E4F" w:themeColor="text2" w:themeShade="BF"/>
        </w:rPr>
        <w:t>Podpora digitálních kompetencí MŠ</w:t>
      </w:r>
      <w:bookmarkEnd w:id="113"/>
      <w:bookmarkEnd w:id="114"/>
      <w:bookmarkEnd w:id="115"/>
    </w:p>
    <w:p w14:paraId="06F11753" w14:textId="77777777" w:rsidR="00381DCE" w:rsidRPr="00E8340E" w:rsidRDefault="00381DCE" w:rsidP="00381DCE"/>
    <w:tbl>
      <w:tblPr>
        <w:tblStyle w:val="Mkatabulky6"/>
        <w:tblW w:w="11194" w:type="dxa"/>
        <w:jc w:val="center"/>
        <w:tblLook w:val="04A0" w:firstRow="1" w:lastRow="0" w:firstColumn="1" w:lastColumn="0" w:noHBand="0" w:noVBand="1"/>
      </w:tblPr>
      <w:tblGrid>
        <w:gridCol w:w="5665"/>
        <w:gridCol w:w="5529"/>
      </w:tblGrid>
      <w:tr w:rsidR="00780143" w:rsidRPr="0089011A" w14:paraId="1D3D98C0" w14:textId="77777777" w:rsidTr="0089011A">
        <w:trPr>
          <w:jc w:val="center"/>
        </w:trPr>
        <w:tc>
          <w:tcPr>
            <w:tcW w:w="5665" w:type="dxa"/>
            <w:shd w:val="clear" w:color="auto" w:fill="323E4F" w:themeFill="text2" w:themeFillShade="BF"/>
            <w:vAlign w:val="center"/>
          </w:tcPr>
          <w:p w14:paraId="3BE73759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Silné stránky</w:t>
            </w:r>
          </w:p>
        </w:tc>
        <w:tc>
          <w:tcPr>
            <w:tcW w:w="5529" w:type="dxa"/>
            <w:shd w:val="clear" w:color="auto" w:fill="323E4F" w:themeFill="text2" w:themeFillShade="BF"/>
            <w:vAlign w:val="center"/>
          </w:tcPr>
          <w:p w14:paraId="30433463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Slabé stránky</w:t>
            </w:r>
          </w:p>
        </w:tc>
      </w:tr>
      <w:tr w:rsidR="00780143" w:rsidRPr="0089011A" w14:paraId="704D765F" w14:textId="77777777" w:rsidTr="0089011A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5F19CEF8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rPr>
                <w:color w:val="000000"/>
              </w:rPr>
              <w:t xml:space="preserve">Pedagogové mají základní znalosti práce s internetem a využívají je pro sebevzdělávání </w:t>
            </w:r>
            <w:r w:rsidRPr="0089011A">
              <w:rPr>
                <w:color w:val="000000"/>
              </w:rPr>
              <w:br/>
              <w:t>a přípravu na vzdělávání dětí (vyhledávání, stahování, tisk podkladů pro práci s dětmi, znalost bezpečného chování na internetu apod.)</w:t>
            </w:r>
            <w:r w:rsidRPr="0089011A">
              <w:t>;</w:t>
            </w:r>
          </w:p>
          <w:p w14:paraId="7C25FC65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rPr>
                <w:color w:val="000000"/>
              </w:rPr>
              <w:t xml:space="preserve">Pedagogové mají základní znalosti práce s počítačem a využívají je pro sebevzdělávání a přípravu </w:t>
            </w:r>
            <w:r w:rsidRPr="0089011A">
              <w:rPr>
                <w:color w:val="000000"/>
              </w:rPr>
              <w:br/>
              <w:t>na vzdělávání dětí (práce s operačním systémem, aplikacemi, soubory, tvorba textových dokumentů apod.).</w:t>
            </w:r>
          </w:p>
          <w:p w14:paraId="5850BC01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  <w:r w:rsidRPr="0089011A">
              <w:rPr>
                <w:color w:val="000000"/>
              </w:rPr>
              <w:t>Dostupné vzdělávání v oblasti digitálních kompetencí</w:t>
            </w:r>
          </w:p>
          <w:p w14:paraId="2C496262" w14:textId="77777777" w:rsidR="00780143" w:rsidRPr="0089011A" w:rsidRDefault="00780143" w:rsidP="00780143">
            <w:pPr>
              <w:widowControl/>
              <w:spacing w:line="240" w:lineRule="auto"/>
              <w:ind w:left="720"/>
              <w:contextualSpacing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6501249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rPr>
                <w:color w:val="000000"/>
              </w:rPr>
              <w:t>Nevhodné / zastaralé ICT vybavení.</w:t>
            </w:r>
          </w:p>
          <w:p w14:paraId="18DA3557" w14:textId="77777777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rPr>
                <w:color w:val="000000"/>
              </w:rPr>
              <w:t>Malé znalosti využívání nových pomůcek</w:t>
            </w:r>
          </w:p>
          <w:p w14:paraId="063D14A3" w14:textId="5712E822" w:rsidR="00780143" w:rsidRPr="0089011A" w:rsidRDefault="00780143" w:rsidP="00780143">
            <w:pPr>
              <w:widowControl/>
              <w:numPr>
                <w:ilvl w:val="0"/>
                <w:numId w:val="2"/>
              </w:numPr>
              <w:spacing w:line="240" w:lineRule="auto"/>
              <w:jc w:val="both"/>
            </w:pPr>
            <w:r w:rsidRPr="0089011A">
              <w:rPr>
                <w:color w:val="000000"/>
              </w:rPr>
              <w:t>Více společných projektů mezi MŠ a ZŠ s využitím digitálních pomůcek</w:t>
            </w:r>
          </w:p>
        </w:tc>
      </w:tr>
      <w:tr w:rsidR="00780143" w:rsidRPr="0089011A" w14:paraId="529D2AA7" w14:textId="77777777" w:rsidTr="0089011A">
        <w:trPr>
          <w:jc w:val="center"/>
        </w:trPr>
        <w:tc>
          <w:tcPr>
            <w:tcW w:w="5665" w:type="dxa"/>
            <w:shd w:val="clear" w:color="auto" w:fill="323E4F" w:themeFill="text2" w:themeFillShade="BF"/>
          </w:tcPr>
          <w:p w14:paraId="66C30D73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Příležitosti</w:t>
            </w:r>
          </w:p>
        </w:tc>
        <w:tc>
          <w:tcPr>
            <w:tcW w:w="5529" w:type="dxa"/>
            <w:shd w:val="clear" w:color="auto" w:fill="323E4F" w:themeFill="text2" w:themeFillShade="BF"/>
          </w:tcPr>
          <w:p w14:paraId="63E7E731" w14:textId="77777777" w:rsidR="00780143" w:rsidRPr="0089011A" w:rsidRDefault="00780143" w:rsidP="00780143">
            <w:pPr>
              <w:jc w:val="center"/>
              <w:rPr>
                <w:b/>
                <w:color w:val="FFFFFF" w:themeColor="background1"/>
              </w:rPr>
            </w:pPr>
            <w:r w:rsidRPr="0089011A">
              <w:rPr>
                <w:b/>
                <w:color w:val="FFFFFF" w:themeColor="background1"/>
              </w:rPr>
              <w:t>Hrozby</w:t>
            </w:r>
          </w:p>
        </w:tc>
      </w:tr>
      <w:tr w:rsidR="00780143" w:rsidRPr="0089011A" w14:paraId="0FE403C3" w14:textId="77777777" w:rsidTr="0089011A">
        <w:trPr>
          <w:jc w:val="center"/>
        </w:trPr>
        <w:tc>
          <w:tcPr>
            <w:tcW w:w="5665" w:type="dxa"/>
          </w:tcPr>
          <w:p w14:paraId="727A1910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t xml:space="preserve">MŠ chtějí nadále rozšiřovat </w:t>
            </w:r>
            <w:r w:rsidRPr="0089011A">
              <w:rPr>
                <w:color w:val="000000"/>
              </w:rPr>
              <w:t>digitální kompetence učitelů.</w:t>
            </w:r>
          </w:p>
          <w:p w14:paraId="51207731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t>Sdílení pomůcek v rámci projektu MAP</w:t>
            </w:r>
          </w:p>
          <w:p w14:paraId="658980B8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t>Vzájemné workshopy mezi MŠ i ZŠ</w:t>
            </w:r>
          </w:p>
        </w:tc>
        <w:tc>
          <w:tcPr>
            <w:tcW w:w="5529" w:type="dxa"/>
          </w:tcPr>
          <w:p w14:paraId="671BFE97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rPr>
                <w:color w:val="000000"/>
              </w:rPr>
              <w:t>Nedostatek financí na pořízení moderního ICT vybavení (včetně údržby stávající techniky</w:t>
            </w:r>
          </w:p>
          <w:p w14:paraId="3802C857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rPr>
                <w:color w:val="000000"/>
              </w:rPr>
              <w:t>Pedagogové neumí zacházet s moderními např. robotickými pomůckami</w:t>
            </w:r>
            <w:r w:rsidRPr="0089011A">
              <w:rPr>
                <w:color w:val="000000"/>
              </w:rPr>
              <w:tab/>
            </w:r>
          </w:p>
          <w:p w14:paraId="5DCC7125" w14:textId="77777777" w:rsidR="00780143" w:rsidRPr="0089011A" w:rsidRDefault="00780143" w:rsidP="00780143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</w:pPr>
            <w:r w:rsidRPr="0089011A">
              <w:rPr>
                <w:color w:val="000000"/>
              </w:rPr>
              <w:t>Nedostatek času příležitostí k dalšímu vzdělávání pedagogických pracovníků v oblasti digitálních kompetencí.</w:t>
            </w:r>
            <w:r w:rsidRPr="0089011A">
              <w:rPr>
                <w:color w:val="000000"/>
              </w:rPr>
              <w:tab/>
            </w:r>
          </w:p>
          <w:p w14:paraId="071D737C" w14:textId="77777777" w:rsidR="00780143" w:rsidRPr="0089011A" w:rsidRDefault="00780143" w:rsidP="00780143">
            <w:pPr>
              <w:widowControl/>
              <w:spacing w:line="240" w:lineRule="auto"/>
              <w:ind w:left="720"/>
              <w:contextualSpacing/>
            </w:pPr>
          </w:p>
        </w:tc>
      </w:tr>
    </w:tbl>
    <w:p w14:paraId="68AE0D93" w14:textId="77A73772" w:rsidR="00381DCE" w:rsidRDefault="00381DCE" w:rsidP="00381DCE">
      <w:pPr>
        <w:tabs>
          <w:tab w:val="left" w:pos="2868"/>
        </w:tabs>
      </w:pPr>
      <w:r>
        <w:tab/>
      </w:r>
    </w:p>
    <w:p w14:paraId="6506F5B7" w14:textId="570D5D7F" w:rsidR="00381DCE" w:rsidRDefault="00381DCE" w:rsidP="00381DCE">
      <w:pPr>
        <w:tabs>
          <w:tab w:val="left" w:pos="2868"/>
        </w:tabs>
      </w:pPr>
    </w:p>
    <w:p w14:paraId="5578714B" w14:textId="3407CC65" w:rsidR="00867063" w:rsidRDefault="00867063"/>
    <w:p w14:paraId="2A390952" w14:textId="3F095D18" w:rsidR="00867063" w:rsidRDefault="00867063"/>
    <w:p w14:paraId="654545D2" w14:textId="75C3092B" w:rsidR="00867063" w:rsidRDefault="00867063"/>
    <w:p w14:paraId="5643B8FF" w14:textId="5FE2BBC0" w:rsidR="00867063" w:rsidRDefault="00867063"/>
    <w:p w14:paraId="18499B68" w14:textId="15718F3A" w:rsidR="00867063" w:rsidRDefault="00867063"/>
    <w:p w14:paraId="40905513" w14:textId="28F1FAA5" w:rsidR="00867063" w:rsidRDefault="00867063"/>
    <w:p w14:paraId="662958E4" w14:textId="391295A2" w:rsidR="00867063" w:rsidRDefault="00867063"/>
    <w:p w14:paraId="19032B84" w14:textId="7F361009" w:rsidR="00867063" w:rsidRDefault="00867063"/>
    <w:p w14:paraId="581221FA" w14:textId="3E20A894" w:rsidR="00867063" w:rsidRDefault="00867063"/>
    <w:p w14:paraId="05F008CA" w14:textId="74AF1F2C" w:rsidR="00867063" w:rsidRDefault="00867063"/>
    <w:p w14:paraId="7D4BDAA9" w14:textId="5D62B1FD" w:rsidR="00867063" w:rsidRDefault="00867063"/>
    <w:p w14:paraId="2E531732" w14:textId="0CC580CB" w:rsidR="00867063" w:rsidRDefault="00867063"/>
    <w:p w14:paraId="0FEA952F" w14:textId="202FE48C" w:rsidR="00867063" w:rsidRDefault="00867063"/>
    <w:p w14:paraId="685F7FC9" w14:textId="029D5064" w:rsidR="00867063" w:rsidRDefault="00867063"/>
    <w:p w14:paraId="6821B65C" w14:textId="5F5BE985" w:rsidR="00867063" w:rsidRDefault="00867063"/>
    <w:p w14:paraId="641A838F" w14:textId="22124A03" w:rsidR="00867063" w:rsidRDefault="00867063"/>
    <w:p w14:paraId="32AE0FC3" w14:textId="6265C1E5" w:rsidR="00867063" w:rsidRDefault="00867063"/>
    <w:p w14:paraId="74CC677F" w14:textId="5E4238A8" w:rsidR="00867063" w:rsidRDefault="00867063"/>
    <w:sectPr w:rsidR="00867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633D" w14:textId="77777777" w:rsidR="00752D41" w:rsidRDefault="00752D41" w:rsidP="006A015B">
      <w:pPr>
        <w:spacing w:line="240" w:lineRule="auto"/>
      </w:pPr>
      <w:r>
        <w:separator/>
      </w:r>
    </w:p>
  </w:endnote>
  <w:endnote w:type="continuationSeparator" w:id="0">
    <w:p w14:paraId="3B995439" w14:textId="77777777" w:rsidR="00752D41" w:rsidRDefault="00752D41" w:rsidP="006A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19B0" w14:textId="77777777" w:rsidR="00093417" w:rsidRDefault="00093417">
    <w:pPr>
      <w:pStyle w:val="Zpat"/>
    </w:pPr>
  </w:p>
  <w:p w14:paraId="40D8081A" w14:textId="77777777" w:rsidR="00093417" w:rsidRPr="006A015B" w:rsidRDefault="00093417" w:rsidP="00093417">
    <w:pPr>
      <w:widowControl/>
      <w:tabs>
        <w:tab w:val="center" w:pos="4536"/>
        <w:tab w:val="right" w:pos="9072"/>
      </w:tabs>
      <w:spacing w:line="240" w:lineRule="auto"/>
      <w:ind w:right="-711"/>
      <w:jc w:val="center"/>
      <w:rPr>
        <w:rFonts w:asciiTheme="minorHAnsi" w:hAnsiTheme="minorHAnsi" w:cstheme="minorBidi"/>
        <w:i/>
        <w:iCs/>
      </w:rPr>
    </w:pPr>
    <w:bookmarkStart w:id="116" w:name="_Hlk130375827"/>
    <w:bookmarkStart w:id="117" w:name="_Hlk130375828"/>
    <w:bookmarkStart w:id="118" w:name="_Hlk130382009"/>
    <w:bookmarkStart w:id="119" w:name="_Hlk130382010"/>
    <w:r w:rsidRPr="006A015B">
      <w:rPr>
        <w:rFonts w:asciiTheme="minorHAnsi" w:hAnsiTheme="minorHAnsi" w:cstheme="minorBidi"/>
        <w:i/>
        <w:iCs/>
      </w:rPr>
      <w:t>Místní akční plán rozvoje vzdělávání ORP Louny III</w:t>
    </w:r>
  </w:p>
  <w:p w14:paraId="3ABB9501" w14:textId="77777777" w:rsidR="00093417" w:rsidRPr="006A015B" w:rsidRDefault="00093417" w:rsidP="00093417">
    <w:pPr>
      <w:widowControl/>
      <w:tabs>
        <w:tab w:val="center" w:pos="4536"/>
        <w:tab w:val="right" w:pos="9072"/>
      </w:tabs>
      <w:spacing w:line="240" w:lineRule="auto"/>
      <w:ind w:right="-570"/>
      <w:jc w:val="center"/>
      <w:rPr>
        <w:rFonts w:asciiTheme="minorHAnsi" w:hAnsiTheme="minorHAnsi" w:cstheme="minorBidi"/>
        <w:i/>
        <w:iCs/>
      </w:rPr>
    </w:pPr>
    <w:r w:rsidRPr="006A015B">
      <w:rPr>
        <w:rFonts w:asciiTheme="minorHAnsi" w:hAnsiTheme="minorHAnsi" w:cstheme="minorBidi"/>
        <w:i/>
        <w:iCs/>
      </w:rPr>
      <w:t>CZ.02.3.68/0.0/0.0/20_082/0023058</w:t>
    </w:r>
  </w:p>
  <w:bookmarkEnd w:id="116"/>
  <w:bookmarkEnd w:id="117"/>
  <w:bookmarkEnd w:id="118"/>
  <w:bookmarkEnd w:id="119"/>
  <w:p w14:paraId="33B513E3" w14:textId="77777777" w:rsidR="00093417" w:rsidRDefault="00093417">
    <w:pPr>
      <w:pStyle w:val="Zpat"/>
    </w:pPr>
  </w:p>
  <w:p w14:paraId="6C96A00A" w14:textId="77777777" w:rsidR="00093417" w:rsidRDefault="00093417">
    <w:pPr>
      <w:pStyle w:val="Zpat"/>
    </w:pPr>
  </w:p>
  <w:sdt>
    <w:sdtPr>
      <w:id w:val="1452749199"/>
      <w:docPartObj>
        <w:docPartGallery w:val="Page Numbers (Bottom of Page)"/>
        <w:docPartUnique/>
      </w:docPartObj>
    </w:sdtPr>
    <w:sdtContent>
      <w:p w14:paraId="4F34FD01" w14:textId="6013A465" w:rsidR="00093417" w:rsidRDefault="000934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ED36C" w14:textId="77777777" w:rsidR="006A015B" w:rsidRDefault="006A0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3759" w14:textId="77777777" w:rsidR="00752D41" w:rsidRDefault="00752D41" w:rsidP="006A015B">
      <w:pPr>
        <w:spacing w:line="240" w:lineRule="auto"/>
      </w:pPr>
      <w:r>
        <w:separator/>
      </w:r>
    </w:p>
  </w:footnote>
  <w:footnote w:type="continuationSeparator" w:id="0">
    <w:p w14:paraId="3DAD1301" w14:textId="77777777" w:rsidR="00752D41" w:rsidRDefault="00752D41" w:rsidP="006A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CEF3" w14:textId="3C43C436" w:rsidR="006A015B" w:rsidRDefault="006A015B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0ECB2A8E" wp14:editId="7C8AFA94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066"/>
    <w:multiLevelType w:val="hybridMultilevel"/>
    <w:tmpl w:val="727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2DD"/>
    <w:multiLevelType w:val="multilevel"/>
    <w:tmpl w:val="8862B3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color w:val="0070C0"/>
      </w:rPr>
    </w:lvl>
    <w:lvl w:ilvl="4">
      <w:start w:val="1"/>
      <w:numFmt w:val="decimal"/>
      <w:pStyle w:val="Nadpis5"/>
      <w:lvlText w:val="%1.%2.%3.%4.%5"/>
      <w:lvlJc w:val="left"/>
      <w:rPr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2854" w:hanging="1152"/>
      </w:pPr>
      <w:rPr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74245E"/>
    <w:multiLevelType w:val="hybridMultilevel"/>
    <w:tmpl w:val="B762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57DE"/>
    <w:multiLevelType w:val="hybridMultilevel"/>
    <w:tmpl w:val="55B4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B5CC2"/>
    <w:multiLevelType w:val="hybridMultilevel"/>
    <w:tmpl w:val="AACAB3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5732FD"/>
    <w:multiLevelType w:val="hybridMultilevel"/>
    <w:tmpl w:val="A652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36317">
    <w:abstractNumId w:val="3"/>
  </w:num>
  <w:num w:numId="2" w16cid:durableId="784615865">
    <w:abstractNumId w:val="5"/>
  </w:num>
  <w:num w:numId="3" w16cid:durableId="93088748">
    <w:abstractNumId w:val="10"/>
  </w:num>
  <w:num w:numId="4" w16cid:durableId="1775907009">
    <w:abstractNumId w:val="6"/>
  </w:num>
  <w:num w:numId="5" w16cid:durableId="1308972650">
    <w:abstractNumId w:val="0"/>
  </w:num>
  <w:num w:numId="6" w16cid:durableId="2012485319">
    <w:abstractNumId w:val="4"/>
  </w:num>
  <w:num w:numId="7" w16cid:durableId="30427390">
    <w:abstractNumId w:val="8"/>
  </w:num>
  <w:num w:numId="8" w16cid:durableId="759058511">
    <w:abstractNumId w:val="1"/>
  </w:num>
  <w:num w:numId="9" w16cid:durableId="646668685">
    <w:abstractNumId w:val="7"/>
  </w:num>
  <w:num w:numId="10" w16cid:durableId="831876919">
    <w:abstractNumId w:val="2"/>
  </w:num>
  <w:num w:numId="11" w16cid:durableId="1684166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CE"/>
    <w:rsid w:val="000546FF"/>
    <w:rsid w:val="00063B9C"/>
    <w:rsid w:val="00093417"/>
    <w:rsid w:val="001830C6"/>
    <w:rsid w:val="001A546B"/>
    <w:rsid w:val="002262EA"/>
    <w:rsid w:val="00252AB5"/>
    <w:rsid w:val="00296264"/>
    <w:rsid w:val="00337D65"/>
    <w:rsid w:val="00381DCE"/>
    <w:rsid w:val="003B353F"/>
    <w:rsid w:val="003F7FC6"/>
    <w:rsid w:val="004E13F8"/>
    <w:rsid w:val="005324EF"/>
    <w:rsid w:val="005B6AE4"/>
    <w:rsid w:val="0067578D"/>
    <w:rsid w:val="006A015B"/>
    <w:rsid w:val="00752D41"/>
    <w:rsid w:val="00780143"/>
    <w:rsid w:val="00867063"/>
    <w:rsid w:val="0089011A"/>
    <w:rsid w:val="00AF0627"/>
    <w:rsid w:val="00B475F6"/>
    <w:rsid w:val="00C64E9C"/>
    <w:rsid w:val="00C76DA0"/>
    <w:rsid w:val="00E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753"/>
  <w15:chartTrackingRefBased/>
  <w15:docId w15:val="{ED1B32DE-E5A8-4F6F-8FEB-B122CCC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DCE"/>
    <w:pPr>
      <w:widowControl w:val="0"/>
      <w:spacing w:after="0" w:line="288" w:lineRule="auto"/>
    </w:pPr>
    <w:rPr>
      <w:rFonts w:ascii="Calibri" w:hAnsi="Calibri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381DCE"/>
    <w:pPr>
      <w:keepNext/>
      <w:numPr>
        <w:numId w:val="1"/>
      </w:numPr>
      <w:pBdr>
        <w:bottom w:val="single" w:sz="12" w:space="1" w:color="365F91"/>
      </w:pBdr>
      <w:spacing w:before="240" w:after="60"/>
      <w:outlineLvl w:val="0"/>
    </w:pPr>
    <w:rPr>
      <w:rFonts w:ascii="Cambria" w:eastAsia="Times New Roman" w:hAnsi="Cambria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81DC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381DC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81DCE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color w:val="0070C0"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381DCE"/>
    <w:pPr>
      <w:numPr>
        <w:ilvl w:val="4"/>
        <w:numId w:val="1"/>
      </w:numPr>
      <w:spacing w:before="240" w:after="100" w:afterAutospacing="1"/>
      <w:outlineLvl w:val="4"/>
    </w:pPr>
    <w:rPr>
      <w:rFonts w:ascii="Cambria" w:eastAsia="Times New Roman" w:hAnsi="Cambria"/>
      <w:b/>
      <w:bCs/>
      <w:i/>
      <w:iCs/>
      <w:color w:val="8496B0" w:themeColor="text2" w:themeTint="99"/>
      <w:sz w:val="22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381DCE"/>
    <w:pPr>
      <w:numPr>
        <w:ilvl w:val="5"/>
        <w:numId w:val="1"/>
      </w:numPr>
      <w:spacing w:before="240" w:after="60"/>
      <w:ind w:left="1152"/>
      <w:outlineLvl w:val="5"/>
    </w:pPr>
    <w:rPr>
      <w:rFonts w:eastAsia="Times New Roman"/>
      <w:b/>
      <w:bCs/>
      <w:i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381DCE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381DC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381DC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1DCE"/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81DCE"/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81DCE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81DCE"/>
    <w:rPr>
      <w:rFonts w:ascii="Cambria" w:eastAsia="Times New Roman" w:hAnsi="Cambria" w:cs="Times New Roman"/>
      <w:b/>
      <w:bCs/>
      <w:color w:val="0070C0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381DCE"/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character" w:customStyle="1" w:styleId="Nadpis6Char">
    <w:name w:val="Nadpis 6 Char"/>
    <w:basedOn w:val="Standardnpsmoodstavce"/>
    <w:link w:val="Nadpis6"/>
    <w:rsid w:val="00381DCE"/>
    <w:rPr>
      <w:rFonts w:ascii="Calibri" w:eastAsia="Times New Roman" w:hAnsi="Calibri" w:cs="Times New Roman"/>
      <w:b/>
      <w:bCs/>
      <w:i/>
    </w:rPr>
  </w:style>
  <w:style w:type="character" w:customStyle="1" w:styleId="Nadpis7Char">
    <w:name w:val="Nadpis 7 Char"/>
    <w:basedOn w:val="Standardnpsmoodstavce"/>
    <w:link w:val="Nadpis7"/>
    <w:rsid w:val="00381DCE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381DCE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381DCE"/>
    <w:rPr>
      <w:rFonts w:ascii="Cambria" w:eastAsia="Times New Roman" w:hAnsi="Cambria" w:cs="Times New Roman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381DCE"/>
    <w:pPr>
      <w:ind w:left="720"/>
      <w:contextualSpacing/>
    </w:p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381DCE"/>
    <w:rPr>
      <w:rFonts w:ascii="Calibri" w:hAnsi="Calibri" w:cs="Times New Roman"/>
      <w:sz w:val="20"/>
      <w:szCs w:val="20"/>
    </w:rPr>
  </w:style>
  <w:style w:type="table" w:styleId="Mkatabulky">
    <w:name w:val="Table Grid"/>
    <w:basedOn w:val="Normlntabulka"/>
    <w:uiPriority w:val="39"/>
    <w:rsid w:val="00381DCE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381DCE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381D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01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15B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A01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15B"/>
    <w:rPr>
      <w:rFonts w:ascii="Calibri" w:hAnsi="Calibri" w:cs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780143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780143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780143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780143"/>
    <w:pPr>
      <w:spacing w:after="0" w:line="240" w:lineRule="auto"/>
    </w:pPr>
    <w:rPr>
      <w:rFonts w:ascii="Calibri" w:hAnsi="Calibri" w:cs="Times New Roman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1462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3</cp:revision>
  <dcterms:created xsi:type="dcterms:W3CDTF">2023-05-19T18:26:00Z</dcterms:created>
  <dcterms:modified xsi:type="dcterms:W3CDTF">2023-05-19T18:31:00Z</dcterms:modified>
</cp:coreProperties>
</file>