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43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7BAA9E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B91215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33F467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7ACE7EB7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875A73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F464D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A8F1105" w14:textId="41691CDA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E5738" wp14:editId="7884A17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727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F1BF60B" w14:textId="26078E0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1DA4C8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93B5073" w14:textId="29329CB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39E896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80FFFF2" w14:textId="1A455103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8F9969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AE0A070" w14:textId="4EBF3DC2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CE9F5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31BDB02" w14:textId="21908C75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092AFA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0D26DA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3FF159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6D38FE4" w14:textId="0E15B34B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INVESTIČNÍ PRIORITY V ZŠ ORP LOUNY</w:t>
      </w:r>
    </w:p>
    <w:p w14:paraId="718C07E7" w14:textId="7BC50A27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PROBLÉMOVÉ OBLASTI V ZŠ ORP LOUNY</w:t>
      </w:r>
    </w:p>
    <w:p w14:paraId="624ABAC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3C393C8" w14:textId="0B7D0C2E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REVIZE</w:t>
      </w:r>
    </w:p>
    <w:p w14:paraId="2BD838D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8A0D58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59E1A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58EAC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86D988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ED1F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2A2F725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65B441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C5A1B8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183624E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485EFC5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7F0268D1" w14:textId="77777777" w:rsidR="00AF353E" w:rsidRPr="008577A3" w:rsidRDefault="00AF353E" w:rsidP="00AF353E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A7C1F6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26CC6CAF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B724201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395ADE54" w14:textId="77777777" w:rsidR="00AF353E" w:rsidRPr="008577A3" w:rsidRDefault="00000000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7" w:history="1">
        <w:r w:rsidR="00AF353E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AF353E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6E101EAB" w14:textId="77777777" w:rsidR="00AF353E" w:rsidRPr="008577A3" w:rsidRDefault="00AF353E" w:rsidP="00AF353E">
      <w:pPr>
        <w:rPr>
          <w:rFonts w:ascii="Calibri" w:hAnsi="Calibri" w:cs="Times New Roman"/>
          <w:sz w:val="28"/>
          <w:szCs w:val="28"/>
        </w:rPr>
      </w:pPr>
    </w:p>
    <w:p w14:paraId="51F50BE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778CB4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96BCFAA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92309BC" w14:textId="72533449" w:rsidR="00AF353E" w:rsidRPr="0012657F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12657F">
        <w:rPr>
          <w:rFonts w:ascii="Calibri" w:hAnsi="Calibri" w:cs="Times New Roman"/>
          <w:b/>
          <w:bCs/>
          <w:sz w:val="20"/>
          <w:szCs w:val="20"/>
        </w:rPr>
        <w:lastRenderedPageBreak/>
        <w:t xml:space="preserve">Investiční priority v oblasti infrastruktury </w:t>
      </w:r>
      <w:r>
        <w:rPr>
          <w:rFonts w:ascii="Calibri" w:hAnsi="Calibri" w:cs="Times New Roman"/>
          <w:b/>
          <w:bCs/>
          <w:sz w:val="20"/>
          <w:szCs w:val="20"/>
        </w:rPr>
        <w:t>ZŠ ORP Louny</w:t>
      </w:r>
    </w:p>
    <w:p w14:paraId="60394A3C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  <w:b/>
          <w:bCs/>
          <w:color w:val="00B050"/>
        </w:rPr>
      </w:pPr>
    </w:p>
    <w:p w14:paraId="10E1D0F1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  <w:b/>
          <w:bCs/>
          <w:color w:val="00B050"/>
        </w:rPr>
      </w:pPr>
    </w:p>
    <w:tbl>
      <w:tblPr>
        <w:tblStyle w:val="Motiv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1277"/>
        <w:gridCol w:w="8363"/>
        <w:gridCol w:w="1134"/>
      </w:tblGrid>
      <w:tr w:rsidR="00DC0BA8" w:rsidRPr="00DC0BA8" w14:paraId="6450F93B" w14:textId="77777777" w:rsidTr="00DC0BA8">
        <w:tc>
          <w:tcPr>
            <w:tcW w:w="1277" w:type="dxa"/>
            <w:shd w:val="clear" w:color="auto" w:fill="323E4F" w:themeFill="text2" w:themeFillShade="BF"/>
          </w:tcPr>
          <w:p w14:paraId="3B7A0F4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  <w:t>Pořadí</w:t>
            </w:r>
          </w:p>
        </w:tc>
        <w:tc>
          <w:tcPr>
            <w:tcW w:w="8363" w:type="dxa"/>
            <w:shd w:val="clear" w:color="auto" w:fill="323E4F" w:themeFill="text2" w:themeFillShade="BF"/>
          </w:tcPr>
          <w:p w14:paraId="54A8A31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b/>
                <w:bCs/>
                <w:color w:val="FFFFFF" w:themeColor="background1"/>
                <w:sz w:val="20"/>
                <w:szCs w:val="20"/>
              </w:rPr>
              <w:t>Investiční priorita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14:paraId="64852E60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b/>
                <w:bCs/>
                <w:color w:val="FFFFFF" w:themeColor="background1"/>
                <w:sz w:val="20"/>
                <w:szCs w:val="20"/>
              </w:rPr>
              <w:t>Průměr bodového hodnocení</w:t>
            </w:r>
          </w:p>
        </w:tc>
      </w:tr>
      <w:tr w:rsidR="00DC0BA8" w:rsidRPr="00DC0BA8" w14:paraId="38ADD6EC" w14:textId="77777777" w:rsidTr="00DC0BA8">
        <w:tc>
          <w:tcPr>
            <w:tcW w:w="1277" w:type="dxa"/>
          </w:tcPr>
          <w:p w14:paraId="11763CE7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000B360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vybavení na podporu podnětného venkovního prostředí školy např. hřiště, školní zahrady, dopravní hřiště, botanické zahrady, rybníky, učebny v přírodě, naučné stezky apod. (vč. bezbariérových úprav);</w:t>
            </w:r>
          </w:p>
        </w:tc>
        <w:tc>
          <w:tcPr>
            <w:tcW w:w="1134" w:type="dxa"/>
          </w:tcPr>
          <w:p w14:paraId="492532D1" w14:textId="77777777" w:rsidR="00DC0BA8" w:rsidRPr="00DC0BA8" w:rsidRDefault="00DC0BA8" w:rsidP="00DC0BA8">
            <w:pPr>
              <w:widowControl w:val="0"/>
              <w:spacing w:after="0" w:line="288" w:lineRule="auto"/>
              <w:ind w:left="-538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</w:p>
          <w:p w14:paraId="331B483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4,7</w:t>
            </w:r>
          </w:p>
        </w:tc>
      </w:tr>
      <w:tr w:rsidR="00DC0BA8" w:rsidRPr="00DC0BA8" w14:paraId="55EA28EF" w14:textId="77777777" w:rsidTr="00DC0BA8">
        <w:tc>
          <w:tcPr>
            <w:tcW w:w="1277" w:type="dxa"/>
          </w:tcPr>
          <w:p w14:paraId="001AE20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225D9BD5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Ostatní rekonstrukce, udržovací práce a modernizace pláště budov; zateplení budov (projekty energeticky udržitelné školy apod., vč. bezbariérových rekonstrukcí)</w:t>
            </w:r>
          </w:p>
        </w:tc>
        <w:tc>
          <w:tcPr>
            <w:tcW w:w="1134" w:type="dxa"/>
          </w:tcPr>
          <w:p w14:paraId="7C2FEED4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3,8</w:t>
            </w:r>
          </w:p>
        </w:tc>
      </w:tr>
      <w:tr w:rsidR="00DC0BA8" w:rsidRPr="00DC0BA8" w14:paraId="77613995" w14:textId="77777777" w:rsidTr="00DC0BA8">
        <w:tc>
          <w:tcPr>
            <w:tcW w:w="1277" w:type="dxa"/>
          </w:tcPr>
          <w:p w14:paraId="133144A6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64235664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školní jídelny, družiny, klubu apod. (vč. bezbariérových úprav)</w:t>
            </w:r>
          </w:p>
        </w:tc>
        <w:tc>
          <w:tcPr>
            <w:tcW w:w="1134" w:type="dxa"/>
          </w:tcPr>
          <w:p w14:paraId="3AB61C1C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3,6</w:t>
            </w:r>
          </w:p>
        </w:tc>
      </w:tr>
      <w:tr w:rsidR="00DC0BA8" w:rsidRPr="00DC0BA8" w14:paraId="779452C9" w14:textId="77777777" w:rsidTr="00DC0BA8">
        <w:tc>
          <w:tcPr>
            <w:tcW w:w="1277" w:type="dxa"/>
          </w:tcPr>
          <w:p w14:paraId="67EAFA0B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14:paraId="3C876E02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tělocvičny (vč. bezbariérových úprav)</w:t>
            </w:r>
          </w:p>
        </w:tc>
        <w:tc>
          <w:tcPr>
            <w:tcW w:w="1134" w:type="dxa"/>
          </w:tcPr>
          <w:p w14:paraId="32941FCA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3,4</w:t>
            </w:r>
          </w:p>
        </w:tc>
      </w:tr>
      <w:tr w:rsidR="00DC0BA8" w:rsidRPr="00DC0BA8" w14:paraId="5A30205E" w14:textId="77777777" w:rsidTr="00DC0BA8">
        <w:tc>
          <w:tcPr>
            <w:tcW w:w="1277" w:type="dxa"/>
          </w:tcPr>
          <w:p w14:paraId="1038D106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6EB78B26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informatiky</w:t>
            </w:r>
          </w:p>
        </w:tc>
        <w:tc>
          <w:tcPr>
            <w:tcW w:w="1134" w:type="dxa"/>
          </w:tcPr>
          <w:p w14:paraId="126224F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3</w:t>
            </w:r>
          </w:p>
        </w:tc>
      </w:tr>
      <w:tr w:rsidR="00DC0BA8" w:rsidRPr="00DC0BA8" w14:paraId="548E66A8" w14:textId="77777777" w:rsidTr="00DC0BA8">
        <w:tc>
          <w:tcPr>
            <w:tcW w:w="1277" w:type="dxa"/>
          </w:tcPr>
          <w:p w14:paraId="0356A8CB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14:paraId="2E9623C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Bezbariérové stavební úpravy a rekonstrukce</w:t>
            </w:r>
          </w:p>
        </w:tc>
        <w:tc>
          <w:tcPr>
            <w:tcW w:w="1134" w:type="dxa"/>
          </w:tcPr>
          <w:p w14:paraId="50E74D54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2,9</w:t>
            </w:r>
          </w:p>
        </w:tc>
      </w:tr>
      <w:tr w:rsidR="00DC0BA8" w:rsidRPr="00DC0BA8" w14:paraId="67408593" w14:textId="77777777" w:rsidTr="00DC0BA8">
        <w:tc>
          <w:tcPr>
            <w:tcW w:w="1277" w:type="dxa"/>
          </w:tcPr>
          <w:p w14:paraId="76051E6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14:paraId="3D6B9042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kmenových tříd</w:t>
            </w:r>
          </w:p>
        </w:tc>
        <w:tc>
          <w:tcPr>
            <w:tcW w:w="1134" w:type="dxa"/>
          </w:tcPr>
          <w:p w14:paraId="628A1B27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2,8</w:t>
            </w:r>
          </w:p>
        </w:tc>
      </w:tr>
      <w:tr w:rsidR="00DC0BA8" w:rsidRPr="00DC0BA8" w14:paraId="4578C0D7" w14:textId="77777777" w:rsidTr="00DC0BA8">
        <w:tc>
          <w:tcPr>
            <w:tcW w:w="1277" w:type="dxa"/>
          </w:tcPr>
          <w:p w14:paraId="31515383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14:paraId="17FD8CC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fyziky</w:t>
            </w:r>
          </w:p>
        </w:tc>
        <w:tc>
          <w:tcPr>
            <w:tcW w:w="1134" w:type="dxa"/>
          </w:tcPr>
          <w:p w14:paraId="750E6D01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2,8</w:t>
            </w:r>
          </w:p>
        </w:tc>
      </w:tr>
      <w:tr w:rsidR="00DC0BA8" w:rsidRPr="00DC0BA8" w14:paraId="304A585A" w14:textId="77777777" w:rsidTr="00DC0BA8">
        <w:tc>
          <w:tcPr>
            <w:tcW w:w="1277" w:type="dxa"/>
          </w:tcPr>
          <w:p w14:paraId="448ACD26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14:paraId="1BED0ADE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knihovny, informačního centra školy</w:t>
            </w:r>
          </w:p>
        </w:tc>
        <w:tc>
          <w:tcPr>
            <w:tcW w:w="1134" w:type="dxa"/>
          </w:tcPr>
          <w:p w14:paraId="6FC694E0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2,7</w:t>
            </w:r>
          </w:p>
        </w:tc>
      </w:tr>
      <w:tr w:rsidR="00DC0BA8" w:rsidRPr="00DC0BA8" w14:paraId="4731D92E" w14:textId="77777777" w:rsidTr="00DC0BA8">
        <w:tc>
          <w:tcPr>
            <w:tcW w:w="1277" w:type="dxa"/>
          </w:tcPr>
          <w:p w14:paraId="2F2C3BA7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14:paraId="4EF95008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chemie</w:t>
            </w:r>
          </w:p>
        </w:tc>
        <w:tc>
          <w:tcPr>
            <w:tcW w:w="1134" w:type="dxa"/>
          </w:tcPr>
          <w:p w14:paraId="4D801EFE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2,6</w:t>
            </w:r>
          </w:p>
        </w:tc>
      </w:tr>
      <w:tr w:rsidR="00DC0BA8" w:rsidRPr="00DC0BA8" w14:paraId="36E0AD19" w14:textId="77777777" w:rsidTr="00DC0BA8">
        <w:tc>
          <w:tcPr>
            <w:tcW w:w="1277" w:type="dxa"/>
          </w:tcPr>
          <w:p w14:paraId="5E658A8F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14:paraId="78816969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dílny / cvičné kuchyňky (vč. bezbariérových úprav</w:t>
            </w:r>
          </w:p>
        </w:tc>
        <w:tc>
          <w:tcPr>
            <w:tcW w:w="1134" w:type="dxa"/>
          </w:tcPr>
          <w:p w14:paraId="17B5DCB4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2,5</w:t>
            </w:r>
          </w:p>
        </w:tc>
      </w:tr>
      <w:tr w:rsidR="00DC0BA8" w:rsidRPr="00DC0BA8" w14:paraId="239593B9" w14:textId="77777777" w:rsidTr="00DC0BA8">
        <w:tc>
          <w:tcPr>
            <w:tcW w:w="1277" w:type="dxa"/>
          </w:tcPr>
          <w:p w14:paraId="645D6B67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14:paraId="6EEE27A8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přírodopisu</w:t>
            </w:r>
          </w:p>
        </w:tc>
        <w:tc>
          <w:tcPr>
            <w:tcW w:w="1134" w:type="dxa"/>
          </w:tcPr>
          <w:p w14:paraId="41743EAF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2,5</w:t>
            </w:r>
          </w:p>
        </w:tc>
      </w:tr>
      <w:tr w:rsidR="00DC0BA8" w:rsidRPr="00DC0BA8" w14:paraId="38B04432" w14:textId="77777777" w:rsidTr="00DC0BA8">
        <w:tc>
          <w:tcPr>
            <w:tcW w:w="1277" w:type="dxa"/>
          </w:tcPr>
          <w:p w14:paraId="3C50D30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14:paraId="03BBD36A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cizích jazyků</w:t>
            </w:r>
          </w:p>
        </w:tc>
        <w:tc>
          <w:tcPr>
            <w:tcW w:w="1134" w:type="dxa"/>
          </w:tcPr>
          <w:p w14:paraId="57AA3B4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2,2</w:t>
            </w:r>
          </w:p>
        </w:tc>
      </w:tr>
      <w:tr w:rsidR="00DC0BA8" w:rsidRPr="00DC0BA8" w14:paraId="78D77773" w14:textId="77777777" w:rsidTr="00DC0BA8">
        <w:tc>
          <w:tcPr>
            <w:tcW w:w="1277" w:type="dxa"/>
          </w:tcPr>
          <w:p w14:paraId="5D34F73F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14:paraId="53FE17DC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uměleckých předmětů (např. hudebny apod.)</w:t>
            </w:r>
          </w:p>
        </w:tc>
        <w:tc>
          <w:tcPr>
            <w:tcW w:w="1134" w:type="dxa"/>
          </w:tcPr>
          <w:p w14:paraId="55E622F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2,1</w:t>
            </w:r>
          </w:p>
        </w:tc>
      </w:tr>
      <w:tr w:rsidR="00DC0BA8" w:rsidRPr="00DC0BA8" w14:paraId="2C181071" w14:textId="77777777" w:rsidTr="00DC0BA8">
        <w:tc>
          <w:tcPr>
            <w:tcW w:w="1277" w:type="dxa"/>
          </w:tcPr>
          <w:p w14:paraId="7D0E794D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14:paraId="2F5068FF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Nová výstavba nebo přístavba budov (vč. bezbariérových staveb)</w:t>
            </w:r>
          </w:p>
        </w:tc>
        <w:tc>
          <w:tcPr>
            <w:tcW w:w="1134" w:type="dxa"/>
          </w:tcPr>
          <w:p w14:paraId="3AD8D960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DC0B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2,1</w:t>
            </w:r>
          </w:p>
        </w:tc>
      </w:tr>
    </w:tbl>
    <w:p w14:paraId="42196BAB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6409965E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5EDA8A02" w14:textId="77777777" w:rsidR="00AF353E" w:rsidRDefault="00AF353E" w:rsidP="00AF353E">
      <w:pPr>
        <w:widowControl w:val="0"/>
        <w:spacing w:after="0" w:line="276" w:lineRule="auto"/>
        <w:jc w:val="center"/>
        <w:rPr>
          <w:rFonts w:cstheme="minorHAnsi"/>
          <w:b/>
          <w:bCs/>
        </w:rPr>
      </w:pPr>
      <w:r w:rsidRPr="00ED2F96">
        <w:rPr>
          <w:rFonts w:cstheme="minorHAnsi"/>
          <w:b/>
          <w:bCs/>
        </w:rPr>
        <w:t>Problémové oblasti v ZŠ ORP Louny</w:t>
      </w:r>
    </w:p>
    <w:p w14:paraId="4227C898" w14:textId="77777777" w:rsidR="00DC0BA8" w:rsidRDefault="00DC0BA8" w:rsidP="00AF353E">
      <w:pPr>
        <w:widowControl w:val="0"/>
        <w:spacing w:after="0" w:line="276" w:lineRule="auto"/>
        <w:jc w:val="center"/>
        <w:rPr>
          <w:rFonts w:cstheme="minorHAnsi"/>
          <w:b/>
          <w:bCs/>
        </w:rPr>
      </w:pPr>
    </w:p>
    <w:p w14:paraId="1D071897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  <w:r w:rsidRPr="00DC0BA8">
        <w:rPr>
          <w:rFonts w:ascii="Calibri" w:hAnsi="Calibri" w:cs="Times New Roman"/>
          <w14:ligatures w14:val="standardContextual"/>
        </w:rPr>
        <w:t>Tato aktualizace probíhala v několika krocích:</w:t>
      </w:r>
    </w:p>
    <w:p w14:paraId="34471998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</w:p>
    <w:p w14:paraId="26ADB3A9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  <w:r w:rsidRPr="00DC0BA8">
        <w:rPr>
          <w:rFonts w:ascii="Calibri" w:hAnsi="Calibri" w:cs="Times New Roman"/>
          <w14:ligatures w14:val="standardContextual"/>
        </w:rPr>
        <w:t>1. V rámci realizace projektu MAP ORP Louny II bylo realizováno dotazníkové šetření aktéry ve vzdělávání, prostřednictvím, kterého byly identifikovány problémové oblasti u ZŠ, MŠ, sloučených ZŠ a MŠ.</w:t>
      </w:r>
    </w:p>
    <w:p w14:paraId="70D23342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  <w:r w:rsidRPr="00DC0BA8">
        <w:rPr>
          <w:rFonts w:ascii="Calibri" w:hAnsi="Calibri" w:cs="Times New Roman"/>
          <w14:ligatures w14:val="standardContextual"/>
        </w:rPr>
        <w:t>Vycházelo se z definovaných problémových oblastí z minulých verzí a aktéři ve vzdělávání uváděli ,zda danou oblasti vnímají jako problematickou.</w:t>
      </w:r>
    </w:p>
    <w:p w14:paraId="4B055526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  <w:r w:rsidRPr="00DC0BA8">
        <w:rPr>
          <w:rFonts w:ascii="Calibri" w:hAnsi="Calibri" w:cs="Times New Roman"/>
          <w14:ligatures w14:val="standardContextual"/>
        </w:rPr>
        <w:t>V rámci realizace projektu MAP ORP Louny III, byly vyzvání k doplnění či připomínkám.</w:t>
      </w:r>
    </w:p>
    <w:p w14:paraId="26A07B7B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  <w:r w:rsidRPr="00DC0BA8">
        <w:rPr>
          <w:rFonts w:ascii="Calibri" w:hAnsi="Calibri" w:cs="Times New Roman"/>
          <w14:ligatures w14:val="standardContextual"/>
        </w:rPr>
        <w:t>Připomínky nebyly vzneseny a níže uvedené problémové oblasti byly následně i nadále schváleny členy pracovních skupin.</w:t>
      </w:r>
    </w:p>
    <w:p w14:paraId="75ADEE01" w14:textId="77777777" w:rsidR="00DC0BA8" w:rsidRPr="00DC0BA8" w:rsidRDefault="00DC0BA8" w:rsidP="00DC0BA8">
      <w:pPr>
        <w:widowControl w:val="0"/>
        <w:spacing w:after="0" w:line="288" w:lineRule="auto"/>
        <w:jc w:val="both"/>
        <w:rPr>
          <w:rFonts w:ascii="Calibri" w:hAnsi="Calibri" w:cs="Times New Roman"/>
          <w14:ligatures w14:val="standardContextual"/>
        </w:rPr>
      </w:pPr>
    </w:p>
    <w:p w14:paraId="41354B0C" w14:textId="5AE09815" w:rsidR="00DC0BA8" w:rsidRDefault="00DC0BA8" w:rsidP="00DC0BA8">
      <w:pPr>
        <w:widowControl w:val="0"/>
        <w:spacing w:after="0" w:line="276" w:lineRule="auto"/>
        <w:jc w:val="both"/>
        <w:rPr>
          <w:rFonts w:cstheme="minorHAnsi"/>
        </w:rPr>
      </w:pPr>
      <w:r w:rsidRPr="00DC0BA8">
        <w:rPr>
          <w:rFonts w:cstheme="minorHAnsi"/>
        </w:rPr>
        <w:t xml:space="preserve">2. V rámci realizace projektu MAP III bylo realizováno dotazníkové šetření zaměřené na revize SWOT analýz v povinných tématech a prostřednictvím kterého zároveň došlo k doplnění dalších problémových oblastí – především z oblasti ČG, MG , RP a vzájemné spolupráce. </w:t>
      </w:r>
    </w:p>
    <w:p w14:paraId="65E41F66" w14:textId="4CBE5A72" w:rsidR="00DC0BA8" w:rsidRPr="00DC0BA8" w:rsidRDefault="00DC0BA8" w:rsidP="00DC0BA8">
      <w:pPr>
        <w:widowControl w:val="0"/>
        <w:spacing w:after="0" w:line="276" w:lineRule="auto"/>
        <w:jc w:val="both"/>
        <w:rPr>
          <w:rFonts w:ascii="Calibri" w:hAnsi="Calibri" w:cs="Times New Roman"/>
          <w14:ligatures w14:val="standardContextual"/>
        </w:rPr>
      </w:pPr>
      <w:r>
        <w:rPr>
          <w:rFonts w:cstheme="minorHAnsi"/>
        </w:rPr>
        <w:t>Uvedeno v následujících tabulkách.</w:t>
      </w:r>
    </w:p>
    <w:p w14:paraId="48631AC7" w14:textId="77777777" w:rsidR="00DC0BA8" w:rsidRDefault="00DC0BA8" w:rsidP="00AF353E">
      <w:pPr>
        <w:widowControl w:val="0"/>
        <w:spacing w:after="0" w:line="276" w:lineRule="auto"/>
        <w:jc w:val="center"/>
        <w:rPr>
          <w:rFonts w:cstheme="minorHAnsi"/>
          <w:b/>
          <w:bCs/>
        </w:rPr>
      </w:pPr>
    </w:p>
    <w:p w14:paraId="0A17DADA" w14:textId="77777777" w:rsidR="00DC0BA8" w:rsidRDefault="00DC0BA8" w:rsidP="00AF353E">
      <w:pPr>
        <w:widowControl w:val="0"/>
        <w:spacing w:after="0" w:line="276" w:lineRule="auto"/>
        <w:jc w:val="center"/>
        <w:rPr>
          <w:rFonts w:cstheme="minorHAnsi"/>
          <w:b/>
          <w:bCs/>
        </w:rPr>
      </w:pPr>
    </w:p>
    <w:tbl>
      <w:tblPr>
        <w:tblStyle w:val="Motivtabulky"/>
        <w:tblpPr w:leftFromText="141" w:rightFromText="141" w:vertAnchor="text" w:horzAnchor="page" w:tblpX="559" w:tblpY="114"/>
        <w:tblW w:w="10768" w:type="dxa"/>
        <w:tblLook w:val="04A0" w:firstRow="1" w:lastRow="0" w:firstColumn="1" w:lastColumn="0" w:noHBand="0" w:noVBand="1"/>
      </w:tblPr>
      <w:tblGrid>
        <w:gridCol w:w="1271"/>
        <w:gridCol w:w="8310"/>
        <w:gridCol w:w="1187"/>
      </w:tblGrid>
      <w:tr w:rsidR="00DC0BA8" w:rsidRPr="00DC0BA8" w14:paraId="0DC79CA4" w14:textId="77777777" w:rsidTr="00007F4D">
        <w:tc>
          <w:tcPr>
            <w:tcW w:w="1271" w:type="dxa"/>
            <w:shd w:val="clear" w:color="auto" w:fill="323E4F" w:themeFill="text2" w:themeFillShade="BF"/>
          </w:tcPr>
          <w:p w14:paraId="168F6A5E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  <w:t>Pořadí</w:t>
            </w:r>
          </w:p>
        </w:tc>
        <w:tc>
          <w:tcPr>
            <w:tcW w:w="8310" w:type="dxa"/>
            <w:shd w:val="clear" w:color="auto" w:fill="323E4F" w:themeFill="text2" w:themeFillShade="BF"/>
          </w:tcPr>
          <w:p w14:paraId="16F0481B" w14:textId="2A06288D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b/>
                <w:bCs/>
                <w:color w:val="FFFFFF" w:themeColor="background1"/>
                <w:sz w:val="20"/>
                <w:szCs w:val="20"/>
              </w:rPr>
              <w:t>Problémové oblasti v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 </w:t>
            </w:r>
            <w:r w:rsidRPr="00DC0BA8">
              <w:rPr>
                <w:b/>
                <w:bCs/>
                <w:color w:val="FFFFFF" w:themeColor="background1"/>
                <w:sz w:val="20"/>
                <w:szCs w:val="20"/>
              </w:rPr>
              <w:t>ZŠ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1. KROK</w:t>
            </w:r>
          </w:p>
        </w:tc>
        <w:tc>
          <w:tcPr>
            <w:tcW w:w="1187" w:type="dxa"/>
            <w:shd w:val="clear" w:color="auto" w:fill="323E4F" w:themeFill="text2" w:themeFillShade="BF"/>
          </w:tcPr>
          <w:p w14:paraId="1B0AF0E1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C0BA8" w:rsidRPr="00DC0BA8" w14:paraId="580D239C" w14:textId="77777777" w:rsidTr="00007F4D">
        <w:tc>
          <w:tcPr>
            <w:tcW w:w="1271" w:type="dxa"/>
          </w:tcPr>
          <w:p w14:paraId="3DD0FC3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10" w:type="dxa"/>
          </w:tcPr>
          <w:p w14:paraId="1567E1FC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Zastarávání a opotřebení majetku a vybavení ZŠ;</w:t>
            </w:r>
          </w:p>
        </w:tc>
        <w:tc>
          <w:tcPr>
            <w:tcW w:w="1187" w:type="dxa"/>
          </w:tcPr>
          <w:p w14:paraId="4D552F8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9</w:t>
            </w:r>
          </w:p>
        </w:tc>
      </w:tr>
      <w:tr w:rsidR="00DC0BA8" w:rsidRPr="00DC0BA8" w14:paraId="718DD82C" w14:textId="77777777" w:rsidTr="00007F4D">
        <w:tc>
          <w:tcPr>
            <w:tcW w:w="1271" w:type="dxa"/>
          </w:tcPr>
          <w:p w14:paraId="0B1C0226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0" w:type="dxa"/>
          </w:tcPr>
          <w:p w14:paraId="4C8B238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Nezbytnost neustálého vzdělávání pedagogických pracovníků;</w:t>
            </w:r>
          </w:p>
        </w:tc>
        <w:tc>
          <w:tcPr>
            <w:tcW w:w="1187" w:type="dxa"/>
          </w:tcPr>
          <w:p w14:paraId="10DFB776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8</w:t>
            </w:r>
          </w:p>
        </w:tc>
      </w:tr>
      <w:tr w:rsidR="00DC0BA8" w:rsidRPr="00DC0BA8" w14:paraId="2520C8F9" w14:textId="77777777" w:rsidTr="00007F4D">
        <w:tc>
          <w:tcPr>
            <w:tcW w:w="1271" w:type="dxa"/>
          </w:tcPr>
          <w:p w14:paraId="69AAF390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10" w:type="dxa"/>
          </w:tcPr>
          <w:p w14:paraId="5E4EC496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Nedostatek financí na běžné opravy;</w:t>
            </w:r>
          </w:p>
        </w:tc>
        <w:tc>
          <w:tcPr>
            <w:tcW w:w="1187" w:type="dxa"/>
          </w:tcPr>
          <w:p w14:paraId="0ED89034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7</w:t>
            </w:r>
          </w:p>
        </w:tc>
      </w:tr>
      <w:tr w:rsidR="00DC0BA8" w:rsidRPr="00DC0BA8" w14:paraId="10AAE8D2" w14:textId="77777777" w:rsidTr="00007F4D">
        <w:tc>
          <w:tcPr>
            <w:tcW w:w="1271" w:type="dxa"/>
          </w:tcPr>
          <w:p w14:paraId="75CAC721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10" w:type="dxa"/>
          </w:tcPr>
          <w:p w14:paraId="7F46328C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Nedostatečné podmínky pro podporu polytechnického vzdělávání žáků;</w:t>
            </w:r>
          </w:p>
        </w:tc>
        <w:tc>
          <w:tcPr>
            <w:tcW w:w="1187" w:type="dxa"/>
          </w:tcPr>
          <w:p w14:paraId="430E24E9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7</w:t>
            </w:r>
          </w:p>
        </w:tc>
      </w:tr>
      <w:tr w:rsidR="00DC0BA8" w:rsidRPr="00DC0BA8" w14:paraId="0B605660" w14:textId="77777777" w:rsidTr="00007F4D">
        <w:tc>
          <w:tcPr>
            <w:tcW w:w="1271" w:type="dxa"/>
          </w:tcPr>
          <w:p w14:paraId="07B28288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10" w:type="dxa"/>
          </w:tcPr>
          <w:p w14:paraId="66463E65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Nedostatečná spolupráce s rodiči při rozvoji klíčových kompetencí</w:t>
            </w:r>
          </w:p>
        </w:tc>
        <w:tc>
          <w:tcPr>
            <w:tcW w:w="1187" w:type="dxa"/>
          </w:tcPr>
          <w:p w14:paraId="2FD4A23A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7</w:t>
            </w:r>
          </w:p>
        </w:tc>
      </w:tr>
      <w:tr w:rsidR="00DC0BA8" w:rsidRPr="00DC0BA8" w14:paraId="165D3A57" w14:textId="77777777" w:rsidTr="00007F4D">
        <w:tc>
          <w:tcPr>
            <w:tcW w:w="1271" w:type="dxa"/>
          </w:tcPr>
          <w:p w14:paraId="09DE6969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10" w:type="dxa"/>
          </w:tcPr>
          <w:p w14:paraId="347E8E0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Nedostatečná spolupráce škol, chybějící metodické sdružení na úrovni města a okolí</w:t>
            </w:r>
          </w:p>
        </w:tc>
        <w:tc>
          <w:tcPr>
            <w:tcW w:w="1187" w:type="dxa"/>
          </w:tcPr>
          <w:p w14:paraId="761B74D0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6</w:t>
            </w:r>
          </w:p>
        </w:tc>
      </w:tr>
      <w:tr w:rsidR="00DC0BA8" w:rsidRPr="00DC0BA8" w14:paraId="43B5FE75" w14:textId="77777777" w:rsidTr="00007F4D">
        <w:tc>
          <w:tcPr>
            <w:tcW w:w="1271" w:type="dxa"/>
          </w:tcPr>
          <w:p w14:paraId="1193C8F1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10" w:type="dxa"/>
          </w:tcPr>
          <w:p w14:paraId="6D9074E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Nedostatečné možnosti výměny zkušeností mezi školami, vzájemné inspirace (např. ukázka užití ICT školami navzájem);</w:t>
            </w:r>
          </w:p>
        </w:tc>
        <w:tc>
          <w:tcPr>
            <w:tcW w:w="1187" w:type="dxa"/>
          </w:tcPr>
          <w:p w14:paraId="59E1BA54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6</w:t>
            </w:r>
          </w:p>
        </w:tc>
      </w:tr>
      <w:tr w:rsidR="00DC0BA8" w:rsidRPr="00DC0BA8" w14:paraId="4B1318CE" w14:textId="77777777" w:rsidTr="00007F4D">
        <w:tc>
          <w:tcPr>
            <w:tcW w:w="1271" w:type="dxa"/>
          </w:tcPr>
          <w:p w14:paraId="37EFB57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10" w:type="dxa"/>
          </w:tcPr>
          <w:p w14:paraId="02111303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 xml:space="preserve">Neuplatňování moderních metod výuky (např. s využitím e-learningu a </w:t>
            </w:r>
            <w:proofErr w:type="spellStart"/>
            <w:r w:rsidRPr="00DC0BA8">
              <w:rPr>
                <w:sz w:val="20"/>
                <w:szCs w:val="20"/>
              </w:rPr>
              <w:t>blended</w:t>
            </w:r>
            <w:proofErr w:type="spellEnd"/>
            <w:r w:rsidRPr="00DC0BA8">
              <w:rPr>
                <w:sz w:val="20"/>
                <w:szCs w:val="20"/>
              </w:rPr>
              <w:t xml:space="preserve"> learningu</w:t>
            </w:r>
          </w:p>
        </w:tc>
        <w:tc>
          <w:tcPr>
            <w:tcW w:w="1187" w:type="dxa"/>
          </w:tcPr>
          <w:p w14:paraId="641314D5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5</w:t>
            </w:r>
          </w:p>
        </w:tc>
      </w:tr>
      <w:tr w:rsidR="00DC0BA8" w:rsidRPr="00DC0BA8" w14:paraId="6DC7887D" w14:textId="77777777" w:rsidTr="00007F4D">
        <w:tc>
          <w:tcPr>
            <w:tcW w:w="1271" w:type="dxa"/>
          </w:tcPr>
          <w:p w14:paraId="36AB771F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10" w:type="dxa"/>
          </w:tcPr>
          <w:p w14:paraId="6B05A365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 xml:space="preserve">Nedostatečná informovanost rodičů a veřejnosti o problematice inkluze; </w:t>
            </w:r>
          </w:p>
        </w:tc>
        <w:tc>
          <w:tcPr>
            <w:tcW w:w="1187" w:type="dxa"/>
          </w:tcPr>
          <w:p w14:paraId="525A504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5</w:t>
            </w:r>
          </w:p>
        </w:tc>
      </w:tr>
      <w:tr w:rsidR="00DC0BA8" w:rsidRPr="00DC0BA8" w14:paraId="63B79122" w14:textId="77777777" w:rsidTr="00007F4D">
        <w:tc>
          <w:tcPr>
            <w:tcW w:w="1271" w:type="dxa"/>
          </w:tcPr>
          <w:p w14:paraId="1ACC208B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10" w:type="dxa"/>
          </w:tcPr>
          <w:p w14:paraId="24093529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Chybějící spolupráce se SŠ</w:t>
            </w:r>
          </w:p>
        </w:tc>
        <w:tc>
          <w:tcPr>
            <w:tcW w:w="1187" w:type="dxa"/>
          </w:tcPr>
          <w:p w14:paraId="1049365F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5</w:t>
            </w:r>
          </w:p>
        </w:tc>
      </w:tr>
      <w:tr w:rsidR="00DC0BA8" w:rsidRPr="00DC0BA8" w14:paraId="6FD35ABE" w14:textId="77777777" w:rsidTr="00007F4D">
        <w:tc>
          <w:tcPr>
            <w:tcW w:w="1271" w:type="dxa"/>
          </w:tcPr>
          <w:p w14:paraId="1447AF27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10" w:type="dxa"/>
          </w:tcPr>
          <w:p w14:paraId="1D1730EE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Nedostatečné vybavení ZŠ pro rozvoj klíčových kompetencí (přírodní vědy, technické obory, digitální technologie, cizí jazyky);</w:t>
            </w:r>
          </w:p>
        </w:tc>
        <w:tc>
          <w:tcPr>
            <w:tcW w:w="1187" w:type="dxa"/>
          </w:tcPr>
          <w:p w14:paraId="1DBCD20F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4</w:t>
            </w:r>
          </w:p>
        </w:tc>
      </w:tr>
      <w:tr w:rsidR="00DC0BA8" w:rsidRPr="00DC0BA8" w14:paraId="037B3C0D" w14:textId="77777777" w:rsidTr="00007F4D">
        <w:tc>
          <w:tcPr>
            <w:tcW w:w="1271" w:type="dxa"/>
          </w:tcPr>
          <w:p w14:paraId="1A4D2E4D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10" w:type="dxa"/>
          </w:tcPr>
          <w:p w14:paraId="1DF5FC71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Nedostatek financí ZŠ pro realizaci inkluzivního vzdělávání, nevyhovující zázemí, nedostatečné vybavení škol kompenzačními pomůckami, nedostatečné finanční zajištění personálních nákladů na práci s heterogenními skupinami žáků;</w:t>
            </w:r>
          </w:p>
        </w:tc>
        <w:tc>
          <w:tcPr>
            <w:tcW w:w="1187" w:type="dxa"/>
          </w:tcPr>
          <w:p w14:paraId="00E244EF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4</w:t>
            </w:r>
          </w:p>
        </w:tc>
      </w:tr>
      <w:tr w:rsidR="00DC0BA8" w:rsidRPr="00DC0BA8" w14:paraId="5771DEA2" w14:textId="77777777" w:rsidTr="00007F4D">
        <w:tc>
          <w:tcPr>
            <w:tcW w:w="1271" w:type="dxa"/>
          </w:tcPr>
          <w:p w14:paraId="29BB6D2E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10" w:type="dxa"/>
          </w:tcPr>
          <w:p w14:paraId="1658545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 xml:space="preserve">Chybějící společné DVPP dle předmětů pro různé aprobace (např. jedna škola uspořádá zajímavou přednášku pro </w:t>
            </w:r>
            <w:proofErr w:type="spellStart"/>
            <w:r w:rsidRPr="00DC0BA8">
              <w:rPr>
                <w:sz w:val="20"/>
                <w:szCs w:val="20"/>
              </w:rPr>
              <w:t>matematikáře</w:t>
            </w:r>
            <w:proofErr w:type="spellEnd"/>
            <w:r w:rsidRPr="00DC0BA8">
              <w:rPr>
                <w:sz w:val="20"/>
                <w:szCs w:val="20"/>
              </w:rPr>
              <w:t xml:space="preserve"> ze všech dalších škol, další pro vyučující ICT);</w:t>
            </w:r>
          </w:p>
        </w:tc>
        <w:tc>
          <w:tcPr>
            <w:tcW w:w="1187" w:type="dxa"/>
          </w:tcPr>
          <w:p w14:paraId="55A93562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4</w:t>
            </w:r>
          </w:p>
        </w:tc>
      </w:tr>
      <w:tr w:rsidR="00DC0BA8" w:rsidRPr="00DC0BA8" w14:paraId="2746EE00" w14:textId="77777777" w:rsidTr="00007F4D">
        <w:tc>
          <w:tcPr>
            <w:tcW w:w="1271" w:type="dxa"/>
          </w:tcPr>
          <w:p w14:paraId="4676CFE8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10" w:type="dxa"/>
          </w:tcPr>
          <w:p w14:paraId="5712D611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Potřeba zkvalitnění kariérového poradenství;</w:t>
            </w:r>
          </w:p>
        </w:tc>
        <w:tc>
          <w:tcPr>
            <w:tcW w:w="1187" w:type="dxa"/>
          </w:tcPr>
          <w:p w14:paraId="08AB1B6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4</w:t>
            </w:r>
          </w:p>
        </w:tc>
      </w:tr>
      <w:tr w:rsidR="00DC0BA8" w:rsidRPr="00DC0BA8" w14:paraId="0B072E78" w14:textId="77777777" w:rsidTr="00007F4D">
        <w:tc>
          <w:tcPr>
            <w:tcW w:w="1271" w:type="dxa"/>
          </w:tcPr>
          <w:p w14:paraId="67253696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10" w:type="dxa"/>
          </w:tcPr>
          <w:p w14:paraId="19AC085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 xml:space="preserve">Nedostačující konektivita na ZŠ;  </w:t>
            </w:r>
          </w:p>
        </w:tc>
        <w:tc>
          <w:tcPr>
            <w:tcW w:w="1187" w:type="dxa"/>
          </w:tcPr>
          <w:p w14:paraId="77C9928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4</w:t>
            </w:r>
          </w:p>
        </w:tc>
      </w:tr>
      <w:tr w:rsidR="00DC0BA8" w:rsidRPr="00DC0BA8" w14:paraId="61CCC028" w14:textId="77777777" w:rsidTr="00007F4D">
        <w:tc>
          <w:tcPr>
            <w:tcW w:w="1271" w:type="dxa"/>
          </w:tcPr>
          <w:p w14:paraId="2D8E7AF3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10" w:type="dxa"/>
          </w:tcPr>
          <w:p w14:paraId="4E0F8F72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Nevyhovující zázemí ZŠ;</w:t>
            </w:r>
          </w:p>
        </w:tc>
        <w:tc>
          <w:tcPr>
            <w:tcW w:w="1187" w:type="dxa"/>
          </w:tcPr>
          <w:p w14:paraId="45FEFA15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3</w:t>
            </w:r>
          </w:p>
        </w:tc>
      </w:tr>
      <w:tr w:rsidR="00DC0BA8" w:rsidRPr="00DC0BA8" w14:paraId="10B04382" w14:textId="77777777" w:rsidTr="00007F4D">
        <w:tc>
          <w:tcPr>
            <w:tcW w:w="1271" w:type="dxa"/>
          </w:tcPr>
          <w:p w14:paraId="06F4B82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10" w:type="dxa"/>
          </w:tcPr>
          <w:p w14:paraId="75490F59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Málo společných projektů a soutěží mezi školami napříč gramotnostmi</w:t>
            </w:r>
          </w:p>
        </w:tc>
        <w:tc>
          <w:tcPr>
            <w:tcW w:w="1187" w:type="dxa"/>
          </w:tcPr>
          <w:p w14:paraId="0EDEB41C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3</w:t>
            </w:r>
          </w:p>
        </w:tc>
      </w:tr>
      <w:tr w:rsidR="00DC0BA8" w:rsidRPr="00DC0BA8" w14:paraId="261D3D1E" w14:textId="77777777" w:rsidTr="00007F4D">
        <w:tc>
          <w:tcPr>
            <w:tcW w:w="1271" w:type="dxa"/>
          </w:tcPr>
          <w:p w14:paraId="551A819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10" w:type="dxa"/>
          </w:tcPr>
          <w:p w14:paraId="74EA032C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Konkurence mezi školami</w:t>
            </w:r>
          </w:p>
        </w:tc>
        <w:tc>
          <w:tcPr>
            <w:tcW w:w="1187" w:type="dxa"/>
          </w:tcPr>
          <w:p w14:paraId="5088AB3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3</w:t>
            </w:r>
          </w:p>
        </w:tc>
      </w:tr>
      <w:tr w:rsidR="00DC0BA8" w:rsidRPr="00DC0BA8" w14:paraId="1F433924" w14:textId="77777777" w:rsidTr="00007F4D">
        <w:tc>
          <w:tcPr>
            <w:tcW w:w="1271" w:type="dxa"/>
          </w:tcPr>
          <w:p w14:paraId="4ABE5D19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10" w:type="dxa"/>
          </w:tcPr>
          <w:p w14:paraId="04066094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Nedostatečná spolupráce v rámci předmětů;</w:t>
            </w:r>
          </w:p>
        </w:tc>
        <w:tc>
          <w:tcPr>
            <w:tcW w:w="1187" w:type="dxa"/>
          </w:tcPr>
          <w:p w14:paraId="03B3AEB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2</w:t>
            </w:r>
          </w:p>
        </w:tc>
      </w:tr>
    </w:tbl>
    <w:p w14:paraId="5D13FC38" w14:textId="77777777" w:rsidR="00DC0BA8" w:rsidRPr="00ED2F96" w:rsidRDefault="00DC0BA8" w:rsidP="00DC0BA8">
      <w:pPr>
        <w:widowControl w:val="0"/>
        <w:spacing w:after="0" w:line="276" w:lineRule="auto"/>
        <w:rPr>
          <w:rFonts w:cstheme="minorHAnsi"/>
          <w:b/>
          <w:bCs/>
        </w:rPr>
      </w:pPr>
    </w:p>
    <w:tbl>
      <w:tblPr>
        <w:tblStyle w:val="Motivtabulky"/>
        <w:tblpPr w:leftFromText="141" w:rightFromText="141" w:vertAnchor="text" w:horzAnchor="page" w:tblpXSpec="center" w:tblpY="114"/>
        <w:tblW w:w="10720" w:type="dxa"/>
        <w:tblLook w:val="04A0" w:firstRow="1" w:lastRow="0" w:firstColumn="1" w:lastColumn="0" w:noHBand="0" w:noVBand="1"/>
      </w:tblPr>
      <w:tblGrid>
        <w:gridCol w:w="1271"/>
        <w:gridCol w:w="9449"/>
      </w:tblGrid>
      <w:tr w:rsidR="00DC0BA8" w:rsidRPr="00DC0BA8" w14:paraId="561F3DB7" w14:textId="77777777" w:rsidTr="00DC0BA8">
        <w:tc>
          <w:tcPr>
            <w:tcW w:w="1271" w:type="dxa"/>
            <w:shd w:val="clear" w:color="auto" w:fill="323E4F" w:themeFill="text2" w:themeFillShade="BF"/>
          </w:tcPr>
          <w:p w14:paraId="6F704CAD" w14:textId="4CC6C00F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b/>
                <w:bCs/>
                <w:color w:val="FFFFFF" w:themeColor="background1"/>
              </w:rPr>
              <w:t>Pořadí</w:t>
            </w:r>
          </w:p>
        </w:tc>
        <w:tc>
          <w:tcPr>
            <w:tcW w:w="9449" w:type="dxa"/>
            <w:shd w:val="clear" w:color="auto" w:fill="323E4F" w:themeFill="text2" w:themeFillShade="BF"/>
          </w:tcPr>
          <w:p w14:paraId="423A6AC7" w14:textId="05B5CA31" w:rsidR="00DC0BA8" w:rsidRPr="00DC0BA8" w:rsidRDefault="00DC0BA8" w:rsidP="00DC0BA8">
            <w:pPr>
              <w:widowControl w:val="0"/>
              <w:spacing w:after="0" w:line="288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C0BA8">
              <w:rPr>
                <w:b/>
                <w:bCs/>
                <w:color w:val="FFFFFF" w:themeColor="background1"/>
              </w:rPr>
              <w:t>Problémové oblasti v ZŠ –</w:t>
            </w:r>
            <w:r>
              <w:rPr>
                <w:b/>
                <w:bCs/>
                <w:color w:val="FFFFFF" w:themeColor="background1"/>
              </w:rPr>
              <w:t xml:space="preserve"> 2</w:t>
            </w:r>
            <w:r w:rsidRPr="00DC0BA8">
              <w:rPr>
                <w:b/>
                <w:bCs/>
                <w:color w:val="FFFFFF" w:themeColor="background1"/>
              </w:rPr>
              <w:t>. KROK</w:t>
            </w:r>
          </w:p>
        </w:tc>
      </w:tr>
      <w:tr w:rsidR="00DC0BA8" w:rsidRPr="00DC0BA8" w14:paraId="6491F68F" w14:textId="77777777" w:rsidTr="00DC0BA8">
        <w:tc>
          <w:tcPr>
            <w:tcW w:w="1271" w:type="dxa"/>
          </w:tcPr>
          <w:p w14:paraId="4F47D953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449" w:type="dxa"/>
          </w:tcPr>
          <w:p w14:paraId="1269168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Prohlubovat sdílení dobré praxe a zkušeností mezi školami v ORP, ale i mimo území ORP Louny</w:t>
            </w:r>
          </w:p>
        </w:tc>
      </w:tr>
      <w:tr w:rsidR="00DC0BA8" w:rsidRPr="00DC0BA8" w14:paraId="355FBD5F" w14:textId="77777777" w:rsidTr="00DC0BA8">
        <w:tc>
          <w:tcPr>
            <w:tcW w:w="1271" w:type="dxa"/>
          </w:tcPr>
          <w:p w14:paraId="4EACAAA8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449" w:type="dxa"/>
          </w:tcPr>
          <w:p w14:paraId="511BDFA6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 xml:space="preserve">Oblast logopedie – významné vady řečí u dětí </w:t>
            </w:r>
          </w:p>
        </w:tc>
      </w:tr>
      <w:tr w:rsidR="00DC0BA8" w:rsidRPr="00DC0BA8" w14:paraId="5834C5EE" w14:textId="77777777" w:rsidTr="00DC0BA8">
        <w:tc>
          <w:tcPr>
            <w:tcW w:w="1271" w:type="dxa"/>
          </w:tcPr>
          <w:p w14:paraId="34F0A5BA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449" w:type="dxa"/>
          </w:tcPr>
          <w:p w14:paraId="0F129D9A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 xml:space="preserve">Nízká míra spolupráce s rodinou  </w:t>
            </w:r>
          </w:p>
        </w:tc>
      </w:tr>
      <w:tr w:rsidR="00DC0BA8" w:rsidRPr="00DC0BA8" w14:paraId="5D51D165" w14:textId="77777777" w:rsidTr="00DC0BA8">
        <w:tc>
          <w:tcPr>
            <w:tcW w:w="1271" w:type="dxa"/>
          </w:tcPr>
          <w:p w14:paraId="7B9A230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449" w:type="dxa"/>
          </w:tcPr>
          <w:p w14:paraId="633E04FA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Nedostatečné materiální zabezpečení rozvoje gramotností mimo školu</w:t>
            </w:r>
          </w:p>
        </w:tc>
      </w:tr>
      <w:tr w:rsidR="00DC0BA8" w:rsidRPr="00DC0BA8" w14:paraId="3E625D5F" w14:textId="77777777" w:rsidTr="00DC0BA8">
        <w:tc>
          <w:tcPr>
            <w:tcW w:w="1271" w:type="dxa"/>
          </w:tcPr>
          <w:p w14:paraId="26DB031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49" w:type="dxa"/>
          </w:tcPr>
          <w:p w14:paraId="3B120BFB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Porozumění zadání a koncentrace žáka</w:t>
            </w:r>
          </w:p>
        </w:tc>
      </w:tr>
      <w:tr w:rsidR="00DC0BA8" w:rsidRPr="00DC0BA8" w14:paraId="4C2D2702" w14:textId="77777777" w:rsidTr="00DC0BA8">
        <w:tc>
          <w:tcPr>
            <w:tcW w:w="1271" w:type="dxa"/>
          </w:tcPr>
          <w:p w14:paraId="5EA4E066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49" w:type="dxa"/>
          </w:tcPr>
          <w:p w14:paraId="76418F8E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Porozumění textu, čtení s porozuměním</w:t>
            </w:r>
          </w:p>
        </w:tc>
      </w:tr>
      <w:tr w:rsidR="00DC0BA8" w:rsidRPr="00DC0BA8" w14:paraId="1D0EE60F" w14:textId="77777777" w:rsidTr="00DC0BA8">
        <w:tc>
          <w:tcPr>
            <w:tcW w:w="1271" w:type="dxa"/>
          </w:tcPr>
          <w:p w14:paraId="7B3E4B45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449" w:type="dxa"/>
          </w:tcPr>
          <w:p w14:paraId="1FDA8437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Nezájem ze strany rodičů a žáka</w:t>
            </w:r>
          </w:p>
        </w:tc>
      </w:tr>
      <w:tr w:rsidR="00DC0BA8" w:rsidRPr="00DC0BA8" w14:paraId="408CA082" w14:textId="77777777" w:rsidTr="00DC0BA8">
        <w:tc>
          <w:tcPr>
            <w:tcW w:w="1271" w:type="dxa"/>
          </w:tcPr>
          <w:p w14:paraId="5F9C8A24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449" w:type="dxa"/>
          </w:tcPr>
          <w:p w14:paraId="136C65DE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sz w:val="20"/>
                <w:szCs w:val="20"/>
              </w:rPr>
              <w:t>Personální a finanční zajištění výuky, chaotická podpora MŠMT</w:t>
            </w:r>
          </w:p>
        </w:tc>
      </w:tr>
      <w:tr w:rsidR="00DC0BA8" w:rsidRPr="00DC0BA8" w14:paraId="6725820E" w14:textId="77777777" w:rsidTr="00DC0BA8">
        <w:tc>
          <w:tcPr>
            <w:tcW w:w="1271" w:type="dxa"/>
          </w:tcPr>
          <w:p w14:paraId="6DF6712B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449" w:type="dxa"/>
          </w:tcPr>
          <w:p w14:paraId="22606593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Oblast výuky matematiky v cizím jazyce, přehlcení pedagogů administrativní zátěží</w:t>
            </w:r>
          </w:p>
        </w:tc>
      </w:tr>
      <w:tr w:rsidR="00DC0BA8" w:rsidRPr="00DC0BA8" w14:paraId="5CDFDB03" w14:textId="77777777" w:rsidTr="00DC0BA8">
        <w:tc>
          <w:tcPr>
            <w:tcW w:w="1271" w:type="dxa"/>
          </w:tcPr>
          <w:p w14:paraId="24FB4222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49" w:type="dxa"/>
          </w:tcPr>
          <w:p w14:paraId="5624CD2B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Nízká časová dotace</w:t>
            </w:r>
          </w:p>
        </w:tc>
      </w:tr>
      <w:tr w:rsidR="00DC0BA8" w:rsidRPr="00DC0BA8" w14:paraId="4E048EF0" w14:textId="77777777" w:rsidTr="00DC0BA8">
        <w:tc>
          <w:tcPr>
            <w:tcW w:w="1271" w:type="dxa"/>
          </w:tcPr>
          <w:p w14:paraId="12E1ED9D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49" w:type="dxa"/>
          </w:tcPr>
          <w:p w14:paraId="00656C9E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Nesystémovost a decentralizace celkového systému školství, legislativní překážky</w:t>
            </w:r>
          </w:p>
        </w:tc>
      </w:tr>
      <w:tr w:rsidR="00DC0BA8" w:rsidRPr="00DC0BA8" w14:paraId="6028ED6E" w14:textId="77777777" w:rsidTr="00DC0BA8">
        <w:tc>
          <w:tcPr>
            <w:tcW w:w="1271" w:type="dxa"/>
          </w:tcPr>
          <w:p w14:paraId="1FEC671B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449" w:type="dxa"/>
          </w:tcPr>
          <w:p w14:paraId="4B3C3779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Nepodnětné prostředí rodiny, obava žáka</w:t>
            </w:r>
          </w:p>
        </w:tc>
      </w:tr>
      <w:tr w:rsidR="00DC0BA8" w:rsidRPr="00DC0BA8" w14:paraId="15AA443E" w14:textId="77777777" w:rsidTr="00DC0BA8">
        <w:tc>
          <w:tcPr>
            <w:tcW w:w="1271" w:type="dxa"/>
          </w:tcPr>
          <w:p w14:paraId="1D2971F3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449" w:type="dxa"/>
          </w:tcPr>
          <w:p w14:paraId="5A053AB6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Matematická gramotnost spočívá v potřebě žáka opakovaně zažívat radost z úspěšně vyřešené úlohy pochopení nového pojmu, vztahu, argumentu nebo situace a v důvěře ve vlastní schopnosti</w:t>
            </w:r>
          </w:p>
        </w:tc>
      </w:tr>
      <w:tr w:rsidR="00DC0BA8" w:rsidRPr="00DC0BA8" w14:paraId="07330EDD" w14:textId="77777777" w:rsidTr="00DC0BA8">
        <w:tc>
          <w:tcPr>
            <w:tcW w:w="1271" w:type="dxa"/>
          </w:tcPr>
          <w:p w14:paraId="4008B61F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449" w:type="dxa"/>
          </w:tcPr>
          <w:p w14:paraId="293F9490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Nadbytek administrativní práce ředitelů a pedagogů</w:t>
            </w:r>
          </w:p>
        </w:tc>
      </w:tr>
      <w:tr w:rsidR="00DC0BA8" w:rsidRPr="00DC0BA8" w14:paraId="12191EDD" w14:textId="77777777" w:rsidTr="00DC0BA8">
        <w:tc>
          <w:tcPr>
            <w:tcW w:w="1271" w:type="dxa"/>
          </w:tcPr>
          <w:p w14:paraId="4CCDF0C0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449" w:type="dxa"/>
          </w:tcPr>
          <w:p w14:paraId="1399E5FF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Rostoucí počet žáků se SVP</w:t>
            </w:r>
          </w:p>
        </w:tc>
      </w:tr>
      <w:tr w:rsidR="00DC0BA8" w:rsidRPr="00DC0BA8" w14:paraId="27A8154F" w14:textId="77777777" w:rsidTr="00DC0BA8">
        <w:tc>
          <w:tcPr>
            <w:tcW w:w="1271" w:type="dxa"/>
          </w:tcPr>
          <w:p w14:paraId="68C1B2BD" w14:textId="77777777" w:rsidR="00DC0BA8" w:rsidRPr="00DC0BA8" w:rsidRDefault="00DC0BA8" w:rsidP="00DC0BA8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449" w:type="dxa"/>
          </w:tcPr>
          <w:p w14:paraId="69F2EE2D" w14:textId="77777777" w:rsidR="00DC0BA8" w:rsidRPr="00DC0BA8" w:rsidRDefault="00DC0BA8" w:rsidP="00DC0BA8">
            <w:pPr>
              <w:widowControl w:val="0"/>
              <w:spacing w:after="0" w:line="288" w:lineRule="auto"/>
              <w:rPr>
                <w:rFonts w:ascii="Calibri" w:hAnsi="Calibri" w:cs="Times New Roman"/>
                <w:sz w:val="20"/>
                <w:szCs w:val="20"/>
              </w:rPr>
            </w:pPr>
            <w:r w:rsidRPr="00DC0BA8">
              <w:rPr>
                <w:rFonts w:ascii="Calibri" w:hAnsi="Calibri" w:cs="Times New Roman"/>
                <w:sz w:val="20"/>
                <w:szCs w:val="20"/>
              </w:rPr>
              <w:t>Efektivní využívání IVP</w:t>
            </w:r>
          </w:p>
        </w:tc>
      </w:tr>
    </w:tbl>
    <w:p w14:paraId="00ED6438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1E58C9F1" w14:textId="77777777" w:rsidR="00DC0BA8" w:rsidRPr="008577A3" w:rsidRDefault="00DC0BA8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6CB8BE37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06663367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19CEADCB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3DF6F217" w14:textId="77777777" w:rsidR="00B475F6" w:rsidRDefault="00B475F6"/>
    <w:sectPr w:rsidR="00B475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22E3" w14:textId="77777777" w:rsidR="00387E4E" w:rsidRDefault="00387E4E" w:rsidP="00AF353E">
      <w:pPr>
        <w:spacing w:after="0" w:line="240" w:lineRule="auto"/>
      </w:pPr>
      <w:r>
        <w:separator/>
      </w:r>
    </w:p>
  </w:endnote>
  <w:endnote w:type="continuationSeparator" w:id="0">
    <w:p w14:paraId="3E48532C" w14:textId="77777777" w:rsidR="00387E4E" w:rsidRDefault="00387E4E" w:rsidP="00A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32D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Místní akční plán rozvoje vzdělávání ORP Louny III</w:t>
    </w:r>
  </w:p>
  <w:p w14:paraId="653B7C9A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p w14:paraId="392FBE01" w14:textId="77777777" w:rsidR="00AF353E" w:rsidRDefault="00AF3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A2EF" w14:textId="77777777" w:rsidR="00387E4E" w:rsidRDefault="00387E4E" w:rsidP="00AF353E">
      <w:pPr>
        <w:spacing w:after="0" w:line="240" w:lineRule="auto"/>
      </w:pPr>
      <w:r>
        <w:separator/>
      </w:r>
    </w:p>
  </w:footnote>
  <w:footnote w:type="continuationSeparator" w:id="0">
    <w:p w14:paraId="17DE13DE" w14:textId="77777777" w:rsidR="00387E4E" w:rsidRDefault="00387E4E" w:rsidP="00A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B84" w14:textId="4FB049DF" w:rsidR="00AF353E" w:rsidRDefault="00AF353E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390ED637" wp14:editId="578E355D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E"/>
    <w:rsid w:val="00063B9C"/>
    <w:rsid w:val="00387E4E"/>
    <w:rsid w:val="00876851"/>
    <w:rsid w:val="00A8792A"/>
    <w:rsid w:val="00AF353E"/>
    <w:rsid w:val="00B475F6"/>
    <w:rsid w:val="00BD68E8"/>
    <w:rsid w:val="00C07459"/>
    <w:rsid w:val="00D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4E0"/>
  <w15:chartTrackingRefBased/>
  <w15:docId w15:val="{DB0C9E37-5834-48AD-99F8-7BAD217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uiPriority w:val="99"/>
    <w:rsid w:val="00AF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3E"/>
  </w:style>
  <w:style w:type="paragraph" w:styleId="Zpat">
    <w:name w:val="footer"/>
    <w:basedOn w:val="Normln"/>
    <w:link w:val="Zpat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pisilovamapi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2023-05-04T13:48:00Z</dcterms:created>
  <dcterms:modified xsi:type="dcterms:W3CDTF">2023-05-04T13:48:00Z</dcterms:modified>
</cp:coreProperties>
</file>