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B434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17BAA9E2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6B912151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633F467B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7ACE7EB7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5875A739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07F464D6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6A8F1105" w14:textId="41691CDA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E5738" wp14:editId="7884A172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1539240" cy="1665605"/>
            <wp:effectExtent l="0" t="0" r="3810" b="0"/>
            <wp:wrapSquare wrapText="right"/>
            <wp:docPr id="4" name="Obrázek 4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57273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4F1BF60B" w14:textId="26078E08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61DA4C8B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293B5073" w14:textId="29329CB8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439E896B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180FFFF2" w14:textId="1A455103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38F9969E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4AE0A070" w14:textId="4EBF3DC2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5CE9F5A4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031BDB02" w14:textId="21908C75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4092AFA3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10D26DA1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53FF1599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36D38FE4" w14:textId="227FBC12" w:rsidR="00AF353E" w:rsidRPr="00AF353E" w:rsidRDefault="00AF353E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AF353E">
        <w:rPr>
          <w:rFonts w:ascii="Calibri" w:hAnsi="Calibri" w:cs="Times New Roman"/>
          <w:b/>
          <w:bCs/>
          <w:sz w:val="32"/>
          <w:szCs w:val="32"/>
        </w:rPr>
        <w:t>INVESTIČNÍ PRIORITY V </w:t>
      </w:r>
      <w:r w:rsidR="00553B0D">
        <w:rPr>
          <w:rFonts w:ascii="Calibri" w:hAnsi="Calibri" w:cs="Times New Roman"/>
          <w:b/>
          <w:bCs/>
          <w:sz w:val="32"/>
          <w:szCs w:val="32"/>
        </w:rPr>
        <w:t>M</w:t>
      </w:r>
      <w:r w:rsidRPr="00AF353E">
        <w:rPr>
          <w:rFonts w:ascii="Calibri" w:hAnsi="Calibri" w:cs="Times New Roman"/>
          <w:b/>
          <w:bCs/>
          <w:sz w:val="32"/>
          <w:szCs w:val="32"/>
        </w:rPr>
        <w:t>Š ORP LOUNY</w:t>
      </w:r>
    </w:p>
    <w:p w14:paraId="718C07E7" w14:textId="641ECFBF" w:rsidR="00AF353E" w:rsidRPr="00AF353E" w:rsidRDefault="00AF353E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AF353E">
        <w:rPr>
          <w:rFonts w:ascii="Calibri" w:hAnsi="Calibri" w:cs="Times New Roman"/>
          <w:b/>
          <w:bCs/>
          <w:sz w:val="32"/>
          <w:szCs w:val="32"/>
        </w:rPr>
        <w:t>PROBLÉMOVÉ OBLASTI V </w:t>
      </w:r>
      <w:r w:rsidR="00553B0D">
        <w:rPr>
          <w:rFonts w:ascii="Calibri" w:hAnsi="Calibri" w:cs="Times New Roman"/>
          <w:b/>
          <w:bCs/>
          <w:sz w:val="32"/>
          <w:szCs w:val="32"/>
        </w:rPr>
        <w:t>M</w:t>
      </w:r>
      <w:r w:rsidRPr="00AF353E">
        <w:rPr>
          <w:rFonts w:ascii="Calibri" w:hAnsi="Calibri" w:cs="Times New Roman"/>
          <w:b/>
          <w:bCs/>
          <w:sz w:val="32"/>
          <w:szCs w:val="32"/>
        </w:rPr>
        <w:t>Š ORP LOUNY</w:t>
      </w:r>
    </w:p>
    <w:p w14:paraId="624ABAC2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53C393C8" w14:textId="0B7D0C2E" w:rsidR="00AF353E" w:rsidRPr="00AF353E" w:rsidRDefault="00AF353E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AF353E">
        <w:rPr>
          <w:rFonts w:ascii="Calibri" w:hAnsi="Calibri" w:cs="Times New Roman"/>
          <w:b/>
          <w:bCs/>
          <w:sz w:val="32"/>
          <w:szCs w:val="32"/>
        </w:rPr>
        <w:t>REVIZE</w:t>
      </w:r>
    </w:p>
    <w:p w14:paraId="2BD838D3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68A0D58C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5059E1AC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0758EAC1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286D9882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50ED1FA4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42A2F725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165B441C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1C5A1B89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2183624E" w14:textId="77777777" w:rsidR="00AF353E" w:rsidRPr="008577A3" w:rsidRDefault="00AF353E" w:rsidP="00AF353E">
      <w:pPr>
        <w:widowControl w:val="0"/>
        <w:spacing w:after="0" w:line="288" w:lineRule="auto"/>
        <w:rPr>
          <w:rFonts w:eastAsia="Arial" w:cstheme="minorHAnsi"/>
          <w:b/>
          <w:bCs/>
          <w:noProof/>
          <w:sz w:val="20"/>
          <w:szCs w:val="20"/>
          <w:lang w:eastAsia="cs-CZ"/>
        </w:rPr>
      </w:pPr>
      <w:r w:rsidRPr="008577A3">
        <w:rPr>
          <w:rFonts w:eastAsia="Arial" w:cstheme="minorHAnsi"/>
          <w:b/>
          <w:bCs/>
          <w:noProof/>
          <w:sz w:val="20"/>
          <w:szCs w:val="20"/>
          <w:lang w:eastAsia="cs-CZ"/>
        </w:rPr>
        <w:t>Realizátor:</w:t>
      </w:r>
    </w:p>
    <w:p w14:paraId="485EFC50" w14:textId="77777777" w:rsidR="00AF353E" w:rsidRPr="008577A3" w:rsidRDefault="00AF353E" w:rsidP="00AF353E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577A3">
        <w:rPr>
          <w:rFonts w:eastAsia="Arial" w:cstheme="minorHAnsi"/>
          <w:noProof/>
          <w:sz w:val="20"/>
          <w:szCs w:val="20"/>
          <w:lang w:eastAsia="cs-CZ"/>
        </w:rPr>
        <w:t>SERVISO, o.p.s.</w:t>
      </w:r>
    </w:p>
    <w:p w14:paraId="7F0268D1" w14:textId="77777777" w:rsidR="00AF353E" w:rsidRPr="008577A3" w:rsidRDefault="00AF353E" w:rsidP="00AF353E">
      <w:pPr>
        <w:widowControl w:val="0"/>
        <w:spacing w:after="0" w:line="288" w:lineRule="auto"/>
        <w:rPr>
          <w:rFonts w:eastAsia="Times New Roman" w:cstheme="minorHAnsi"/>
          <w:b/>
          <w:bCs/>
          <w:noProof/>
          <w:color w:val="000000" w:themeColor="text1"/>
          <w:sz w:val="20"/>
          <w:szCs w:val="20"/>
          <w:lang w:eastAsia="cs-CZ"/>
        </w:rPr>
      </w:pPr>
    </w:p>
    <w:p w14:paraId="1A7C1F60" w14:textId="77777777" w:rsidR="00AF353E" w:rsidRPr="008577A3" w:rsidRDefault="00AF353E" w:rsidP="00AF353E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577A3">
        <w:rPr>
          <w:rFonts w:eastAsia="Arial" w:cstheme="minorHAnsi"/>
          <w:noProof/>
          <w:sz w:val="20"/>
          <w:szCs w:val="20"/>
          <w:lang w:eastAsia="cs-CZ"/>
        </w:rPr>
        <w:t>Autoři: Realizační tým MAP III</w:t>
      </w:r>
    </w:p>
    <w:p w14:paraId="26CC6CAF" w14:textId="77777777" w:rsidR="00AF353E" w:rsidRPr="008577A3" w:rsidRDefault="00AF353E" w:rsidP="00AF353E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0B724201" w14:textId="77777777" w:rsidR="00AF353E" w:rsidRPr="008577A3" w:rsidRDefault="00AF353E" w:rsidP="00AF353E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577A3">
        <w:rPr>
          <w:rFonts w:eastAsia="Arial" w:cstheme="minorHAnsi"/>
          <w:noProof/>
          <w:sz w:val="20"/>
          <w:szCs w:val="20"/>
          <w:lang w:eastAsia="cs-CZ"/>
        </w:rPr>
        <w:t>Kontakt: Ing. Alena Pospíšilová</w:t>
      </w:r>
    </w:p>
    <w:p w14:paraId="395ADE54" w14:textId="77777777" w:rsidR="00AF353E" w:rsidRPr="008577A3" w:rsidRDefault="00000000" w:rsidP="00AF353E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hyperlink r:id="rId7" w:history="1">
        <w:r w:rsidR="00AF353E" w:rsidRPr="008577A3">
          <w:rPr>
            <w:rFonts w:eastAsia="Arial" w:cstheme="minorHAnsi"/>
            <w:noProof/>
            <w:color w:val="0563C1" w:themeColor="hyperlink"/>
            <w:sz w:val="20"/>
            <w:szCs w:val="20"/>
            <w:u w:val="single"/>
            <w:lang w:eastAsia="cs-CZ"/>
          </w:rPr>
          <w:t>pospisilovamapii@seznam.cz</w:t>
        </w:r>
      </w:hyperlink>
      <w:r w:rsidR="00AF353E" w:rsidRPr="008577A3">
        <w:rPr>
          <w:rFonts w:eastAsia="Arial" w:cstheme="minorHAnsi"/>
          <w:noProof/>
          <w:sz w:val="20"/>
          <w:szCs w:val="20"/>
          <w:lang w:eastAsia="cs-CZ"/>
        </w:rPr>
        <w:t>, 777 816 537</w:t>
      </w:r>
    </w:p>
    <w:p w14:paraId="6E101EAB" w14:textId="77777777" w:rsidR="00AF353E" w:rsidRPr="008577A3" w:rsidRDefault="00AF353E" w:rsidP="00AF353E">
      <w:pPr>
        <w:rPr>
          <w:rFonts w:ascii="Calibri" w:hAnsi="Calibri" w:cs="Times New Roman"/>
          <w:sz w:val="28"/>
          <w:szCs w:val="28"/>
        </w:rPr>
      </w:pPr>
    </w:p>
    <w:p w14:paraId="51F50BEE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2778CB46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096BCFAA" w14:textId="77777777" w:rsidR="00AF353E" w:rsidRDefault="00AF353E" w:rsidP="00AF353E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p w14:paraId="5516C63D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12A1C193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2BF3ACBF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5990901A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4FCFDD7B" w14:textId="7453EA90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  <w:bookmarkStart w:id="0" w:name="_Hlk130376869"/>
      <w:r w:rsidRPr="00553B0D">
        <w:rPr>
          <w:rFonts w:ascii="Calibri" w:hAnsi="Calibri" w:cs="Times New Roman"/>
          <w:b/>
          <w:bCs/>
          <w:sz w:val="20"/>
          <w:szCs w:val="20"/>
        </w:rPr>
        <w:t>Investiční priority v oblasti infrastruktury MŠ na území ORP Louny</w:t>
      </w:r>
    </w:p>
    <w:bookmarkEnd w:id="0"/>
    <w:p w14:paraId="74708AED" w14:textId="77777777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53B0D" w:rsidRPr="00553B0D" w14:paraId="254CF11E" w14:textId="77777777" w:rsidTr="00553B0D">
        <w:tc>
          <w:tcPr>
            <w:tcW w:w="988" w:type="dxa"/>
            <w:shd w:val="clear" w:color="auto" w:fill="D9E2F3" w:themeFill="accent1" w:themeFillTint="33"/>
          </w:tcPr>
          <w:p w14:paraId="1C8E9EBC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  <w:rPr>
                <w:b/>
                <w:bCs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266C56DC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  <w:rPr>
                <w:b/>
                <w:bCs/>
              </w:rPr>
            </w:pPr>
            <w:r w:rsidRPr="00553B0D">
              <w:rPr>
                <w:b/>
                <w:bCs/>
              </w:rPr>
              <w:t>Investiční priorita</w:t>
            </w:r>
          </w:p>
        </w:tc>
      </w:tr>
      <w:tr w:rsidR="00553B0D" w:rsidRPr="00553B0D" w14:paraId="21CBBF7B" w14:textId="77777777" w:rsidTr="00F632DC">
        <w:tc>
          <w:tcPr>
            <w:tcW w:w="988" w:type="dxa"/>
          </w:tcPr>
          <w:p w14:paraId="13CAD269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1</w:t>
            </w:r>
          </w:p>
        </w:tc>
        <w:tc>
          <w:tcPr>
            <w:tcW w:w="8074" w:type="dxa"/>
          </w:tcPr>
          <w:p w14:paraId="66F6B6B2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 xml:space="preserve">Stavební úpravy a vybavení na podporu podnětného venkovního prostředí školy (např. hřiště, </w:t>
            </w:r>
            <w:proofErr w:type="gramStart"/>
            <w:r w:rsidRPr="00553B0D">
              <w:t>zahrady,</w:t>
            </w:r>
            <w:proofErr w:type="gramEnd"/>
            <w:r w:rsidRPr="00553B0D">
              <w:t xml:space="preserve"> apod. včetně bezbariérových úprav)</w:t>
            </w:r>
          </w:p>
        </w:tc>
      </w:tr>
      <w:tr w:rsidR="00553B0D" w:rsidRPr="00553B0D" w14:paraId="5D50031D" w14:textId="77777777" w:rsidTr="00F632DC">
        <w:tc>
          <w:tcPr>
            <w:tcW w:w="988" w:type="dxa"/>
          </w:tcPr>
          <w:p w14:paraId="207D8BFB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2</w:t>
            </w:r>
          </w:p>
        </w:tc>
        <w:tc>
          <w:tcPr>
            <w:tcW w:w="8074" w:type="dxa"/>
          </w:tcPr>
          <w:p w14:paraId="0B6FDBCD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Bezbariérové stavební úpravy a rekonstrukce</w:t>
            </w:r>
          </w:p>
        </w:tc>
      </w:tr>
      <w:tr w:rsidR="00553B0D" w:rsidRPr="00553B0D" w14:paraId="46922073" w14:textId="77777777" w:rsidTr="00F632DC">
        <w:tc>
          <w:tcPr>
            <w:tcW w:w="988" w:type="dxa"/>
          </w:tcPr>
          <w:p w14:paraId="61945FDA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3</w:t>
            </w:r>
          </w:p>
        </w:tc>
        <w:tc>
          <w:tcPr>
            <w:tcW w:w="8074" w:type="dxa"/>
          </w:tcPr>
          <w:p w14:paraId="142E12C1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Stavební úpravy a rekonstrukce prostor na podporu polytechnického vzdělávání (např. keramická dílna)</w:t>
            </w:r>
          </w:p>
        </w:tc>
      </w:tr>
      <w:tr w:rsidR="00553B0D" w:rsidRPr="00553B0D" w14:paraId="309CCAE3" w14:textId="77777777" w:rsidTr="00F632DC">
        <w:tc>
          <w:tcPr>
            <w:tcW w:w="988" w:type="dxa"/>
          </w:tcPr>
          <w:p w14:paraId="6EF3A74D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4</w:t>
            </w:r>
          </w:p>
        </w:tc>
        <w:tc>
          <w:tcPr>
            <w:tcW w:w="8074" w:type="dxa"/>
          </w:tcPr>
          <w:p w14:paraId="146638C6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Ostatní rekonstrukce, udržovací práce a modernizace pláště budov</w:t>
            </w:r>
          </w:p>
        </w:tc>
      </w:tr>
      <w:tr w:rsidR="00553B0D" w:rsidRPr="00553B0D" w14:paraId="1CBF855A" w14:textId="77777777" w:rsidTr="00F632DC">
        <w:tc>
          <w:tcPr>
            <w:tcW w:w="988" w:type="dxa"/>
          </w:tcPr>
          <w:p w14:paraId="0A2040D5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5</w:t>
            </w:r>
          </w:p>
        </w:tc>
        <w:tc>
          <w:tcPr>
            <w:tcW w:w="8074" w:type="dxa"/>
          </w:tcPr>
          <w:p w14:paraId="1263E11B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Stavební úpravy a rekonstrukce školní jídelny</w:t>
            </w:r>
          </w:p>
        </w:tc>
      </w:tr>
      <w:tr w:rsidR="00553B0D" w:rsidRPr="00553B0D" w14:paraId="6A4099B5" w14:textId="77777777" w:rsidTr="00F632DC">
        <w:tc>
          <w:tcPr>
            <w:tcW w:w="988" w:type="dxa"/>
          </w:tcPr>
          <w:p w14:paraId="7A6B9E8A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6</w:t>
            </w:r>
          </w:p>
        </w:tc>
        <w:tc>
          <w:tcPr>
            <w:tcW w:w="8074" w:type="dxa"/>
          </w:tcPr>
          <w:p w14:paraId="0DAE13F7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Stavební úpravy a rekonstrukce tříd</w:t>
            </w:r>
          </w:p>
        </w:tc>
      </w:tr>
      <w:tr w:rsidR="00553B0D" w:rsidRPr="00553B0D" w14:paraId="00D5EE79" w14:textId="77777777" w:rsidTr="00F632DC">
        <w:tc>
          <w:tcPr>
            <w:tcW w:w="988" w:type="dxa"/>
          </w:tcPr>
          <w:p w14:paraId="4B55B0AF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7</w:t>
            </w:r>
          </w:p>
        </w:tc>
        <w:tc>
          <w:tcPr>
            <w:tcW w:w="8074" w:type="dxa"/>
          </w:tcPr>
          <w:p w14:paraId="3168140C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Nová výstavba nebo přístavba budov (vč. bezbariérových staveb)</w:t>
            </w:r>
          </w:p>
        </w:tc>
      </w:tr>
      <w:tr w:rsidR="00553B0D" w:rsidRPr="00553B0D" w14:paraId="21598DA8" w14:textId="77777777" w:rsidTr="00F632DC">
        <w:tc>
          <w:tcPr>
            <w:tcW w:w="988" w:type="dxa"/>
          </w:tcPr>
          <w:p w14:paraId="2A2A50D4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8</w:t>
            </w:r>
          </w:p>
        </w:tc>
        <w:tc>
          <w:tcPr>
            <w:tcW w:w="8074" w:type="dxa"/>
          </w:tcPr>
          <w:p w14:paraId="346BA9B0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Stavební úpravy a rekonstrukce herny</w:t>
            </w:r>
          </w:p>
        </w:tc>
      </w:tr>
    </w:tbl>
    <w:p w14:paraId="57825475" w14:textId="77777777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3DEEEFC9" w14:textId="77777777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1271BF59" w14:textId="77777777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  <w:r w:rsidRPr="00553B0D">
        <w:rPr>
          <w:rFonts w:ascii="Calibri" w:hAnsi="Calibri" w:cs="Times New Roman"/>
          <w:b/>
          <w:bCs/>
          <w:sz w:val="20"/>
          <w:szCs w:val="20"/>
        </w:rPr>
        <w:t>Problémové okruhy v MŠ na území ORP Louny</w:t>
      </w:r>
    </w:p>
    <w:p w14:paraId="30C67E31" w14:textId="77777777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49E3F4DE" w14:textId="77777777" w:rsidR="00553B0D" w:rsidRPr="00553B0D" w:rsidRDefault="00553B0D" w:rsidP="00553B0D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53B0D" w:rsidRPr="00553B0D" w14:paraId="333D9A4D" w14:textId="77777777" w:rsidTr="00553B0D">
        <w:tc>
          <w:tcPr>
            <w:tcW w:w="988" w:type="dxa"/>
            <w:shd w:val="clear" w:color="auto" w:fill="D9E2F3" w:themeFill="accent1" w:themeFillTint="33"/>
          </w:tcPr>
          <w:p w14:paraId="4935C509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  <w:rPr>
                <w:b/>
                <w:bCs/>
              </w:rPr>
            </w:pPr>
          </w:p>
        </w:tc>
        <w:tc>
          <w:tcPr>
            <w:tcW w:w="8074" w:type="dxa"/>
            <w:shd w:val="clear" w:color="auto" w:fill="D9E2F3" w:themeFill="accent1" w:themeFillTint="33"/>
          </w:tcPr>
          <w:p w14:paraId="2ED4C2B0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  <w:rPr>
                <w:b/>
                <w:bCs/>
              </w:rPr>
            </w:pPr>
            <w:r w:rsidRPr="00553B0D">
              <w:rPr>
                <w:b/>
                <w:bCs/>
              </w:rPr>
              <w:t>Problémové okruhy</w:t>
            </w:r>
          </w:p>
        </w:tc>
      </w:tr>
      <w:tr w:rsidR="00553B0D" w:rsidRPr="00553B0D" w14:paraId="2A7FB18C" w14:textId="77777777" w:rsidTr="00F632DC">
        <w:tc>
          <w:tcPr>
            <w:tcW w:w="988" w:type="dxa"/>
          </w:tcPr>
          <w:p w14:paraId="5D5556EF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1</w:t>
            </w:r>
          </w:p>
        </w:tc>
        <w:tc>
          <w:tcPr>
            <w:tcW w:w="8074" w:type="dxa"/>
          </w:tcPr>
          <w:p w14:paraId="2DF4FC4C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Nedostatek financí na běžné opravy</w:t>
            </w:r>
          </w:p>
        </w:tc>
      </w:tr>
      <w:tr w:rsidR="00553B0D" w:rsidRPr="00553B0D" w14:paraId="51BF1250" w14:textId="77777777" w:rsidTr="00F632DC">
        <w:tc>
          <w:tcPr>
            <w:tcW w:w="988" w:type="dxa"/>
          </w:tcPr>
          <w:p w14:paraId="7FCB1BB3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2</w:t>
            </w:r>
          </w:p>
        </w:tc>
        <w:tc>
          <w:tcPr>
            <w:tcW w:w="8074" w:type="dxa"/>
          </w:tcPr>
          <w:p w14:paraId="2DF2AC0C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Hodně dětí ve třídách</w:t>
            </w:r>
          </w:p>
        </w:tc>
      </w:tr>
      <w:tr w:rsidR="00553B0D" w:rsidRPr="00553B0D" w14:paraId="1A77539D" w14:textId="77777777" w:rsidTr="00F632DC">
        <w:tc>
          <w:tcPr>
            <w:tcW w:w="988" w:type="dxa"/>
          </w:tcPr>
          <w:p w14:paraId="2A2E6B9E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3</w:t>
            </w:r>
          </w:p>
        </w:tc>
        <w:tc>
          <w:tcPr>
            <w:tcW w:w="8074" w:type="dxa"/>
          </w:tcPr>
          <w:p w14:paraId="51E35D18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Chybějící cvičné třídy pro předškolní děti – tyto třídy by navštěvovaly předškolní děti MŠ a seznamovaly se s realitou první třídy a pravidly, která ve škole fungují</w:t>
            </w:r>
          </w:p>
        </w:tc>
      </w:tr>
      <w:tr w:rsidR="00553B0D" w:rsidRPr="00553B0D" w14:paraId="6E96AEA1" w14:textId="77777777" w:rsidTr="00F632DC">
        <w:tc>
          <w:tcPr>
            <w:tcW w:w="988" w:type="dxa"/>
          </w:tcPr>
          <w:p w14:paraId="6ECF651B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4</w:t>
            </w:r>
          </w:p>
        </w:tc>
        <w:tc>
          <w:tcPr>
            <w:tcW w:w="8074" w:type="dxa"/>
          </w:tcPr>
          <w:p w14:paraId="2566AA0E" w14:textId="540E6F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Potřeba odlišného režimu a práce u dvouletých dětí a zřízení třídy pro dvouleté děti na jedné MŠ</w:t>
            </w:r>
          </w:p>
        </w:tc>
      </w:tr>
      <w:tr w:rsidR="00553B0D" w:rsidRPr="00553B0D" w14:paraId="62CA5AF0" w14:textId="77777777" w:rsidTr="00F632DC">
        <w:tc>
          <w:tcPr>
            <w:tcW w:w="988" w:type="dxa"/>
          </w:tcPr>
          <w:p w14:paraId="25B644A3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5</w:t>
            </w:r>
          </w:p>
        </w:tc>
        <w:tc>
          <w:tcPr>
            <w:tcW w:w="8074" w:type="dxa"/>
          </w:tcPr>
          <w:p w14:paraId="5C73D54A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Zastarávání a opotřebení majetku a vybavení MŠ</w:t>
            </w:r>
          </w:p>
        </w:tc>
      </w:tr>
      <w:tr w:rsidR="00553B0D" w:rsidRPr="00553B0D" w14:paraId="711EE527" w14:textId="77777777" w:rsidTr="00F632DC">
        <w:tc>
          <w:tcPr>
            <w:tcW w:w="988" w:type="dxa"/>
          </w:tcPr>
          <w:p w14:paraId="080F87FA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6</w:t>
            </w:r>
          </w:p>
        </w:tc>
        <w:tc>
          <w:tcPr>
            <w:tcW w:w="8074" w:type="dxa"/>
          </w:tcPr>
          <w:p w14:paraId="56E02CAE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Nezbytnost neustálého vzdělávání pedagogických pracovníků</w:t>
            </w:r>
          </w:p>
        </w:tc>
      </w:tr>
      <w:tr w:rsidR="00553B0D" w:rsidRPr="00553B0D" w14:paraId="3816660D" w14:textId="77777777" w:rsidTr="00F632DC">
        <w:tc>
          <w:tcPr>
            <w:tcW w:w="988" w:type="dxa"/>
          </w:tcPr>
          <w:p w14:paraId="4949F01F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7</w:t>
            </w:r>
          </w:p>
        </w:tc>
        <w:tc>
          <w:tcPr>
            <w:tcW w:w="8074" w:type="dxa"/>
          </w:tcPr>
          <w:p w14:paraId="348D9EEB" w14:textId="77777777" w:rsidR="00553B0D" w:rsidRPr="00553B0D" w:rsidRDefault="00553B0D" w:rsidP="00553B0D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Legislativní chaos</w:t>
            </w:r>
          </w:p>
        </w:tc>
      </w:tr>
      <w:tr w:rsidR="00271F32" w:rsidRPr="00553B0D" w14:paraId="7AAE3CEF" w14:textId="77777777" w:rsidTr="00F632DC">
        <w:trPr>
          <w:trHeight w:val="69"/>
        </w:trPr>
        <w:tc>
          <w:tcPr>
            <w:tcW w:w="988" w:type="dxa"/>
          </w:tcPr>
          <w:p w14:paraId="406F4EBA" w14:textId="0964940A" w:rsidR="00271F32" w:rsidRPr="00553B0D" w:rsidRDefault="00271F32" w:rsidP="00553B0D">
            <w:pPr>
              <w:widowControl w:val="0"/>
              <w:tabs>
                <w:tab w:val="left" w:pos="2868"/>
              </w:tabs>
              <w:spacing w:line="288" w:lineRule="auto"/>
            </w:pPr>
            <w:r>
              <w:t>8</w:t>
            </w:r>
          </w:p>
        </w:tc>
        <w:tc>
          <w:tcPr>
            <w:tcW w:w="8074" w:type="dxa"/>
          </w:tcPr>
          <w:p w14:paraId="092C11A9" w14:textId="301C5323" w:rsidR="00271F32" w:rsidRPr="00553B0D" w:rsidRDefault="00271F32" w:rsidP="00553B0D">
            <w:pPr>
              <w:widowControl w:val="0"/>
              <w:tabs>
                <w:tab w:val="left" w:pos="2868"/>
              </w:tabs>
              <w:spacing w:line="288" w:lineRule="auto"/>
            </w:pPr>
            <w:r>
              <w:t>Nedostatečné vybavení MŠ pro rozvoj pregramotností</w:t>
            </w:r>
          </w:p>
        </w:tc>
      </w:tr>
      <w:tr w:rsidR="00271F32" w:rsidRPr="00553B0D" w14:paraId="51FE0138" w14:textId="77777777" w:rsidTr="00F632DC">
        <w:trPr>
          <w:trHeight w:val="69"/>
        </w:trPr>
        <w:tc>
          <w:tcPr>
            <w:tcW w:w="988" w:type="dxa"/>
          </w:tcPr>
          <w:p w14:paraId="4E55E1E7" w14:textId="374760DB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8B01BF">
              <w:t>9</w:t>
            </w:r>
          </w:p>
        </w:tc>
        <w:tc>
          <w:tcPr>
            <w:tcW w:w="8074" w:type="dxa"/>
          </w:tcPr>
          <w:p w14:paraId="4FC84B4F" w14:textId="77777777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 xml:space="preserve">Nedostatečná spolupráce aktérů ve vzdělávání </w:t>
            </w:r>
          </w:p>
        </w:tc>
      </w:tr>
      <w:tr w:rsidR="00271F32" w:rsidRPr="00553B0D" w14:paraId="445EA926" w14:textId="77777777" w:rsidTr="00F632DC">
        <w:trPr>
          <w:trHeight w:val="69"/>
        </w:trPr>
        <w:tc>
          <w:tcPr>
            <w:tcW w:w="988" w:type="dxa"/>
          </w:tcPr>
          <w:p w14:paraId="1881B449" w14:textId="7A3C2284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8B01BF">
              <w:t>10</w:t>
            </w:r>
          </w:p>
        </w:tc>
        <w:tc>
          <w:tcPr>
            <w:tcW w:w="8074" w:type="dxa"/>
          </w:tcPr>
          <w:p w14:paraId="42EE206C" w14:textId="77777777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Nevyhovující zázemí MŠ</w:t>
            </w:r>
          </w:p>
        </w:tc>
      </w:tr>
      <w:tr w:rsidR="00271F32" w:rsidRPr="00553B0D" w14:paraId="6212B152" w14:textId="77777777" w:rsidTr="00F632DC">
        <w:trPr>
          <w:trHeight w:val="69"/>
        </w:trPr>
        <w:tc>
          <w:tcPr>
            <w:tcW w:w="988" w:type="dxa"/>
          </w:tcPr>
          <w:p w14:paraId="7E8BEF71" w14:textId="11AB56E2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8B01BF">
              <w:t>11</w:t>
            </w:r>
          </w:p>
        </w:tc>
        <w:tc>
          <w:tcPr>
            <w:tcW w:w="8074" w:type="dxa"/>
          </w:tcPr>
          <w:p w14:paraId="596DBDAE" w14:textId="72D7F0AC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>
              <w:t xml:space="preserve">Časté vady řeči u </w:t>
            </w:r>
            <w:proofErr w:type="gramStart"/>
            <w:r>
              <w:t xml:space="preserve">dětí - </w:t>
            </w:r>
            <w:r w:rsidRPr="00553B0D">
              <w:t>Nedostatečná</w:t>
            </w:r>
            <w:proofErr w:type="gramEnd"/>
            <w:r w:rsidRPr="00553B0D">
              <w:t xml:space="preserve"> logopedická prevence</w:t>
            </w:r>
          </w:p>
        </w:tc>
      </w:tr>
      <w:tr w:rsidR="00271F32" w:rsidRPr="00553B0D" w14:paraId="3EFD5BAA" w14:textId="77777777" w:rsidTr="00F632DC">
        <w:trPr>
          <w:trHeight w:val="69"/>
        </w:trPr>
        <w:tc>
          <w:tcPr>
            <w:tcW w:w="988" w:type="dxa"/>
          </w:tcPr>
          <w:p w14:paraId="02299353" w14:textId="6CEE6E8E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8B01BF">
              <w:t>12</w:t>
            </w:r>
          </w:p>
        </w:tc>
        <w:tc>
          <w:tcPr>
            <w:tcW w:w="8074" w:type="dxa"/>
          </w:tcPr>
          <w:p w14:paraId="10058649" w14:textId="77777777" w:rsidR="00271F32" w:rsidRPr="00553B0D" w:rsidRDefault="00271F32" w:rsidP="00271F32">
            <w:pPr>
              <w:widowControl w:val="0"/>
              <w:tabs>
                <w:tab w:val="left" w:pos="2868"/>
              </w:tabs>
              <w:spacing w:line="288" w:lineRule="auto"/>
            </w:pPr>
            <w:r w:rsidRPr="00553B0D">
              <w:t>Nevytvořený systém podpory pro děti se SVP</w:t>
            </w:r>
          </w:p>
        </w:tc>
      </w:tr>
      <w:tr w:rsidR="006527BA" w:rsidRPr="00553B0D" w14:paraId="653735C9" w14:textId="77777777" w:rsidTr="00F632DC">
        <w:trPr>
          <w:trHeight w:val="69"/>
        </w:trPr>
        <w:tc>
          <w:tcPr>
            <w:tcW w:w="988" w:type="dxa"/>
          </w:tcPr>
          <w:p w14:paraId="16013E48" w14:textId="2C3A4FA6" w:rsidR="006527BA" w:rsidRPr="00553B0D" w:rsidRDefault="006527BA" w:rsidP="00553B0D">
            <w:pPr>
              <w:widowControl w:val="0"/>
              <w:tabs>
                <w:tab w:val="left" w:pos="2868"/>
              </w:tabs>
              <w:spacing w:line="288" w:lineRule="auto"/>
            </w:pPr>
            <w:r>
              <w:t>1</w:t>
            </w:r>
            <w:r w:rsidR="00271F32">
              <w:t>3</w:t>
            </w:r>
          </w:p>
        </w:tc>
        <w:tc>
          <w:tcPr>
            <w:tcW w:w="8074" w:type="dxa"/>
          </w:tcPr>
          <w:p w14:paraId="48BF128B" w14:textId="1E64FD42" w:rsidR="006527BA" w:rsidRPr="00553B0D" w:rsidRDefault="006527BA" w:rsidP="00553B0D">
            <w:pPr>
              <w:widowControl w:val="0"/>
              <w:tabs>
                <w:tab w:val="left" w:pos="2868"/>
              </w:tabs>
              <w:spacing w:line="288" w:lineRule="auto"/>
            </w:pPr>
            <w:r>
              <w:t>Společné akce a projekty mezi MŠ, či ZŠ – sdílení, soutěže</w:t>
            </w:r>
          </w:p>
        </w:tc>
      </w:tr>
    </w:tbl>
    <w:p w14:paraId="18B25BA2" w14:textId="77777777" w:rsidR="00553B0D" w:rsidRPr="00553B0D" w:rsidRDefault="00553B0D" w:rsidP="00553B0D">
      <w:pPr>
        <w:widowControl w:val="0"/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0D720549" w14:textId="77777777" w:rsidR="00553B0D" w:rsidRPr="00553B0D" w:rsidRDefault="00553B0D" w:rsidP="00553B0D">
      <w:pPr>
        <w:widowControl w:val="0"/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6A41742B" w14:textId="77777777" w:rsidR="00553B0D" w:rsidRPr="00553B0D" w:rsidRDefault="00553B0D" w:rsidP="00553B0D">
      <w:pPr>
        <w:widowControl w:val="0"/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6C128DBB" w14:textId="77777777" w:rsidR="00553B0D" w:rsidRPr="00553B0D" w:rsidRDefault="00553B0D" w:rsidP="00553B0D">
      <w:pPr>
        <w:widowControl w:val="0"/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6863E02F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8BBEECB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F1E808A" w14:textId="77777777" w:rsidR="00553B0D" w:rsidRDefault="00553B0D" w:rsidP="00AF353E">
      <w:pPr>
        <w:widowControl w:val="0"/>
        <w:tabs>
          <w:tab w:val="left" w:pos="2868"/>
        </w:tabs>
        <w:spacing w:after="0" w:line="288" w:lineRule="auto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00E41111" w14:textId="77777777" w:rsidR="00553B0D" w:rsidRDefault="00553B0D" w:rsidP="00271F32">
      <w:pPr>
        <w:widowControl w:val="0"/>
        <w:tabs>
          <w:tab w:val="left" w:pos="2868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sectPr w:rsidR="00553B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4E74" w14:textId="77777777" w:rsidR="00681FEC" w:rsidRDefault="00681FEC" w:rsidP="00AF353E">
      <w:pPr>
        <w:spacing w:after="0" w:line="240" w:lineRule="auto"/>
      </w:pPr>
      <w:r>
        <w:separator/>
      </w:r>
    </w:p>
  </w:endnote>
  <w:endnote w:type="continuationSeparator" w:id="0">
    <w:p w14:paraId="39C15E5F" w14:textId="77777777" w:rsidR="00681FEC" w:rsidRDefault="00681FEC" w:rsidP="00A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632D" w14:textId="77777777" w:rsidR="00AF353E" w:rsidRPr="008577A3" w:rsidRDefault="00AF353E" w:rsidP="00AF353E">
    <w:pPr>
      <w:tabs>
        <w:tab w:val="center" w:pos="4536"/>
        <w:tab w:val="right" w:pos="9072"/>
      </w:tabs>
      <w:spacing w:after="0" w:line="240" w:lineRule="auto"/>
      <w:ind w:right="-711"/>
      <w:jc w:val="center"/>
      <w:rPr>
        <w:i/>
        <w:iCs/>
        <w:sz w:val="20"/>
        <w:szCs w:val="20"/>
      </w:rPr>
    </w:pPr>
    <w:r w:rsidRPr="008577A3">
      <w:rPr>
        <w:i/>
        <w:iCs/>
        <w:sz w:val="20"/>
        <w:szCs w:val="20"/>
      </w:rPr>
      <w:t>Místní akční plán rozvoje vzdělávání ORP Louny III</w:t>
    </w:r>
  </w:p>
  <w:p w14:paraId="653B7C9A" w14:textId="77777777" w:rsidR="00AF353E" w:rsidRPr="008577A3" w:rsidRDefault="00AF353E" w:rsidP="00AF353E">
    <w:pPr>
      <w:tabs>
        <w:tab w:val="center" w:pos="4536"/>
        <w:tab w:val="right" w:pos="9072"/>
      </w:tabs>
      <w:spacing w:after="0" w:line="240" w:lineRule="auto"/>
      <w:ind w:right="-570"/>
      <w:jc w:val="center"/>
      <w:rPr>
        <w:i/>
        <w:iCs/>
        <w:sz w:val="20"/>
        <w:szCs w:val="20"/>
      </w:rPr>
    </w:pPr>
    <w:r w:rsidRPr="008577A3">
      <w:rPr>
        <w:i/>
        <w:iCs/>
        <w:sz w:val="20"/>
        <w:szCs w:val="20"/>
      </w:rPr>
      <w:t>CZ.02.3.68/0.0/0.0/20_082/0023058</w:t>
    </w:r>
  </w:p>
  <w:p w14:paraId="392FBE01" w14:textId="77777777" w:rsidR="00AF353E" w:rsidRDefault="00AF35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D42" w14:textId="77777777" w:rsidR="00681FEC" w:rsidRDefault="00681FEC" w:rsidP="00AF353E">
      <w:pPr>
        <w:spacing w:after="0" w:line="240" w:lineRule="auto"/>
      </w:pPr>
      <w:r>
        <w:separator/>
      </w:r>
    </w:p>
  </w:footnote>
  <w:footnote w:type="continuationSeparator" w:id="0">
    <w:p w14:paraId="33529D63" w14:textId="77777777" w:rsidR="00681FEC" w:rsidRDefault="00681FEC" w:rsidP="00AF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FB84" w14:textId="4FB049DF" w:rsidR="00AF353E" w:rsidRDefault="00AF353E">
    <w:pPr>
      <w:pStyle w:val="Zhlav"/>
    </w:pPr>
    <w:r>
      <w:rPr>
        <w:rFonts w:ascii="Roboto" w:hAnsi="Roboto"/>
        <w:noProof/>
        <w:color w:val="3E3E3E"/>
        <w:sz w:val="21"/>
        <w:szCs w:val="21"/>
      </w:rPr>
      <w:drawing>
        <wp:anchor distT="0" distB="0" distL="114300" distR="114300" simplePos="0" relativeHeight="251659264" behindDoc="0" locked="0" layoutInCell="1" allowOverlap="1" wp14:anchorId="390ED637" wp14:editId="4575D16B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4922520" cy="1092835"/>
          <wp:effectExtent l="0" t="0" r="0" b="0"/>
          <wp:wrapSquare wrapText="bothSides"/>
          <wp:docPr id="2" name="Obrázek 2" descr="Obsah obrázku text, dopis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dopis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52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3E"/>
    <w:rsid w:val="00063B9C"/>
    <w:rsid w:val="00271F32"/>
    <w:rsid w:val="00553B0D"/>
    <w:rsid w:val="006527BA"/>
    <w:rsid w:val="00681FEC"/>
    <w:rsid w:val="00876851"/>
    <w:rsid w:val="00A8560D"/>
    <w:rsid w:val="00AF353E"/>
    <w:rsid w:val="00B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4E0"/>
  <w15:chartTrackingRefBased/>
  <w15:docId w15:val="{DB0C9E37-5834-48AD-99F8-7BAD2178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tivtabulky">
    <w:name w:val="Table Theme"/>
    <w:basedOn w:val="Normlntabulka"/>
    <w:uiPriority w:val="99"/>
    <w:rsid w:val="00AF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3E"/>
  </w:style>
  <w:style w:type="paragraph" w:styleId="Zpat">
    <w:name w:val="footer"/>
    <w:basedOn w:val="Normln"/>
    <w:link w:val="ZpatChar"/>
    <w:uiPriority w:val="99"/>
    <w:unhideWhenUsed/>
    <w:rsid w:val="00A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3E"/>
  </w:style>
  <w:style w:type="table" w:styleId="Mkatabulky">
    <w:name w:val="Table Grid"/>
    <w:basedOn w:val="Normlntabulka"/>
    <w:uiPriority w:val="39"/>
    <w:rsid w:val="00553B0D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pisilovamapii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4</cp:revision>
  <dcterms:created xsi:type="dcterms:W3CDTF">2023-03-22T11:47:00Z</dcterms:created>
  <dcterms:modified xsi:type="dcterms:W3CDTF">2023-03-25T20:16:00Z</dcterms:modified>
</cp:coreProperties>
</file>